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39" w:rsidRPr="00EA7D39" w:rsidRDefault="00100F64" w:rsidP="00EA7D3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6C9969B7" wp14:editId="54798971">
            <wp:simplePos x="0" y="0"/>
            <wp:positionH relativeFrom="column">
              <wp:posOffset>-255905</wp:posOffset>
            </wp:positionH>
            <wp:positionV relativeFrom="paragraph">
              <wp:posOffset>-1233170</wp:posOffset>
            </wp:positionV>
            <wp:extent cx="8356600" cy="7006590"/>
            <wp:effectExtent l="19050" t="0" r="44450" b="22860"/>
            <wp:wrapThrough wrapText="bothSides">
              <wp:wrapPolygon edited="0">
                <wp:start x="-49" y="0"/>
                <wp:lineTo x="-49" y="21612"/>
                <wp:lineTo x="14920" y="21612"/>
                <wp:lineTo x="21222" y="17853"/>
                <wp:lineTo x="21666" y="17266"/>
                <wp:lineTo x="21666" y="4346"/>
                <wp:lineTo x="21518" y="4170"/>
                <wp:lineTo x="14920" y="0"/>
                <wp:lineTo x="-49" y="0"/>
              </wp:wrapPolygon>
            </wp:wrapThrough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D39" w:rsidRPr="00EA7D39" w:rsidRDefault="00EA7D39" w:rsidP="00D50988">
      <w:pPr>
        <w:ind w:left="360"/>
      </w:pPr>
      <w:r w:rsidRPr="00D50988">
        <w:rPr>
          <w:rFonts w:ascii="Arial" w:hAnsi="Arial" w:cs="Arial"/>
          <w:sz w:val="32"/>
          <w:szCs w:val="32"/>
        </w:rPr>
        <w:cr/>
      </w:r>
    </w:p>
    <w:p w:rsidR="00A41EAA" w:rsidRDefault="009D705C" w:rsidP="00EA7D39">
      <w:pPr>
        <w:pStyle w:val="Prrafodelista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6E421B1C" wp14:editId="7916E952">
            <wp:simplePos x="0" y="0"/>
            <wp:positionH relativeFrom="column">
              <wp:posOffset>2221865</wp:posOffset>
            </wp:positionH>
            <wp:positionV relativeFrom="paragraph">
              <wp:posOffset>335915</wp:posOffset>
            </wp:positionV>
            <wp:extent cx="5694045" cy="3550920"/>
            <wp:effectExtent l="0" t="0" r="1905" b="0"/>
            <wp:wrapThrough wrapText="bothSides">
              <wp:wrapPolygon edited="0">
                <wp:start x="0" y="0"/>
                <wp:lineTo x="0" y="21438"/>
                <wp:lineTo x="21535" y="21438"/>
                <wp:lineTo x="21535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D39">
        <w:rPr>
          <w:sz w:val="40"/>
        </w:rPr>
        <w:t>Fórmulas</w:t>
      </w:r>
      <w:r>
        <w:rPr>
          <w:sz w:val="40"/>
        </w:rPr>
        <w:t xml:space="preserve"> de Cohortes</w:t>
      </w:r>
      <w:r w:rsidR="00EA7D39" w:rsidRPr="00EA7D39">
        <w:rPr>
          <w:sz w:val="40"/>
        </w:rPr>
        <w:t>:</w:t>
      </w:r>
      <w:r>
        <w:rPr>
          <w:sz w:val="40"/>
        </w:rPr>
        <w:t xml:space="preserve"> </w:t>
      </w:r>
    </w:p>
    <w:p w:rsidR="00A41EAA" w:rsidRPr="00A41EAA" w:rsidRDefault="00A41EAA" w:rsidP="00A41EAA"/>
    <w:p w:rsidR="00A41EAA" w:rsidRPr="00A41EAA" w:rsidRDefault="00A41EAA" w:rsidP="00A41EAA"/>
    <w:p w:rsidR="00A41EAA" w:rsidRPr="00A41EAA" w:rsidRDefault="00A41EAA" w:rsidP="00A41EAA"/>
    <w:p w:rsidR="00A41EAA" w:rsidRPr="00A41EAA" w:rsidRDefault="00A41EAA" w:rsidP="00A41EAA"/>
    <w:p w:rsidR="00A41EAA" w:rsidRPr="00A41EAA" w:rsidRDefault="00A41EAA" w:rsidP="00A41EAA"/>
    <w:p w:rsidR="00A41EAA" w:rsidRPr="00A41EAA" w:rsidRDefault="00A41EAA" w:rsidP="00A41EAA"/>
    <w:p w:rsidR="00A41EAA" w:rsidRPr="00A41EAA" w:rsidRDefault="00A41EAA" w:rsidP="00A41EAA"/>
    <w:p w:rsidR="00A41EAA" w:rsidRPr="00A41EAA" w:rsidRDefault="00A41EAA" w:rsidP="00A41EAA"/>
    <w:p w:rsidR="00A41EAA" w:rsidRPr="00A41EAA" w:rsidRDefault="00A41EAA" w:rsidP="00A41EAA"/>
    <w:p w:rsidR="00A41EAA" w:rsidRPr="00A41EAA" w:rsidRDefault="00A41EAA" w:rsidP="00A41EAA"/>
    <w:p w:rsidR="00A41EAA" w:rsidRPr="00A41EAA" w:rsidRDefault="00A41EAA" w:rsidP="00A41EAA"/>
    <w:p w:rsidR="00A41EAA" w:rsidRPr="00A41EAA" w:rsidRDefault="00A41EAA" w:rsidP="00A41EAA"/>
    <w:p w:rsidR="00A41EAA" w:rsidRDefault="00C418C8" w:rsidP="00A41EAA">
      <w:pPr>
        <w:rPr>
          <w:rFonts w:ascii="Arial" w:hAnsi="Arial" w:cs="Arial"/>
          <w:b/>
          <w:sz w:val="28"/>
          <w:szCs w:val="28"/>
        </w:rPr>
      </w:pPr>
      <w:r w:rsidRPr="00C418C8">
        <w:rPr>
          <w:rFonts w:ascii="Arial" w:hAnsi="Arial" w:cs="Arial"/>
          <w:b/>
          <w:sz w:val="28"/>
          <w:szCs w:val="28"/>
        </w:rPr>
        <w:t>Fórmulas de  Casos y Controles</w:t>
      </w:r>
    </w:p>
    <w:p w:rsidR="00C418C8" w:rsidRPr="00C418C8" w:rsidRDefault="00C418C8" w:rsidP="00A41EA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885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527" y="21246"/>
                <wp:lineTo x="21527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EAA" w:rsidRPr="00863B76" w:rsidRDefault="00863B76" w:rsidP="00A41EAA">
      <w:pPr>
        <w:rPr>
          <w:b/>
        </w:rPr>
      </w:pPr>
      <w:r w:rsidRPr="00863B76">
        <w:rPr>
          <w:b/>
        </w:rPr>
        <w:t>Probabilidad: RM\RM+1</w:t>
      </w:r>
    </w:p>
    <w:p w:rsidR="00FD04B9" w:rsidRPr="00A41EAA" w:rsidRDefault="00863B76" w:rsidP="00A41EAA"/>
    <w:sectPr w:rsidR="00FD04B9" w:rsidRPr="00A41EAA" w:rsidSect="00774E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2247"/>
    <w:multiLevelType w:val="hybridMultilevel"/>
    <w:tmpl w:val="4CE41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BC"/>
    <w:rsid w:val="00042E6D"/>
    <w:rsid w:val="00100F64"/>
    <w:rsid w:val="001F34BC"/>
    <w:rsid w:val="0026299F"/>
    <w:rsid w:val="003D64DC"/>
    <w:rsid w:val="00774E7B"/>
    <w:rsid w:val="00863B76"/>
    <w:rsid w:val="009D705C"/>
    <w:rsid w:val="00A41EAA"/>
    <w:rsid w:val="00B71397"/>
    <w:rsid w:val="00C418C8"/>
    <w:rsid w:val="00C42845"/>
    <w:rsid w:val="00CE09A8"/>
    <w:rsid w:val="00D50988"/>
    <w:rsid w:val="00EA7D39"/>
    <w:rsid w:val="00FB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9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2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1A5751-D11D-4076-9B14-E92A3C5A5E2E}" type="doc">
      <dgm:prSet loTypeId="urn:microsoft.com/office/officeart/2005/8/layout/hList6" loCatId="list" qsTypeId="urn:microsoft.com/office/officeart/2005/8/quickstyle/simple1" qsCatId="simple" csTypeId="urn:microsoft.com/office/officeart/2005/8/colors/colorful3" csCatId="colorful" phldr="1"/>
      <dgm:spPr/>
    </dgm:pt>
    <dgm:pt modelId="{748151BA-F91F-49A0-8A42-EA03B3DBA113}">
      <dgm:prSet phldrT="[Texto]"/>
      <dgm:spPr/>
      <dgm:t>
        <a:bodyPr/>
        <a:lstStyle/>
        <a:p>
          <a:r>
            <a:rPr lang="es-ES"/>
            <a:t> Cohortes:Procedimiento analítico no experimental, más bien observacional prospectivo o retrospectivo.</a:t>
          </a:r>
          <a:endParaRPr lang="en-US"/>
        </a:p>
        <a:p>
          <a:r>
            <a:rPr lang="es-ES"/>
            <a:t>Nivel de Evidencia 2 B</a:t>
          </a:r>
          <a:endParaRPr lang="en-US"/>
        </a:p>
        <a:p>
          <a:r>
            <a:rPr lang="es-ES"/>
            <a:t>Hace punto de referencia  a la determinación del factor de riesgo .La valoración  de las exposición debe ser válida  y  definir a los individuos a riesgo establecer la base para el seguimiento y obtener datos  sobre variables importantes es decir otras exposiciones que puedan asociarse con  el riesgo  de adquirir la enfermedad ara tenerlas en cuenta en la atapa del análisis.</a:t>
          </a:r>
          <a:endParaRPr lang="en-US"/>
        </a:p>
        <a:p>
          <a:r>
            <a:rPr lang="es-ES"/>
            <a:t>Sesgos más comunes son: </a:t>
          </a:r>
          <a:endParaRPr lang="en-US"/>
        </a:p>
        <a:p>
          <a:r>
            <a:rPr lang="es-ES"/>
            <a:t>Sesgos de selección </a:t>
          </a:r>
          <a:endParaRPr lang="en-US"/>
        </a:p>
        <a:p>
          <a:r>
            <a:rPr lang="es-ES"/>
            <a:t>Sesgos durante el seguimiento </a:t>
          </a:r>
          <a:endParaRPr lang="en-US"/>
        </a:p>
        <a:p>
          <a:r>
            <a:rPr lang="es-ES"/>
            <a:t>Sesgos de información </a:t>
          </a:r>
          <a:endParaRPr lang="en-US"/>
        </a:p>
        <a:p>
          <a:r>
            <a:rPr lang="es-ES"/>
            <a:t>sesgos de confusión </a:t>
          </a:r>
          <a:endParaRPr lang="en-US"/>
        </a:p>
      </dgm:t>
    </dgm:pt>
    <dgm:pt modelId="{8485B767-8FAB-4887-9A6B-FB91D1933031}" type="parTrans" cxnId="{35F15C23-231C-4D0A-81AD-DB673EAFC93B}">
      <dgm:prSet/>
      <dgm:spPr/>
      <dgm:t>
        <a:bodyPr/>
        <a:lstStyle/>
        <a:p>
          <a:endParaRPr lang="en-US"/>
        </a:p>
      </dgm:t>
    </dgm:pt>
    <dgm:pt modelId="{17F5C8D7-90B8-4D3F-AD74-6EB5F0BF6114}" type="sibTrans" cxnId="{35F15C23-231C-4D0A-81AD-DB673EAFC93B}">
      <dgm:prSet/>
      <dgm:spPr/>
      <dgm:t>
        <a:bodyPr/>
        <a:lstStyle/>
        <a:p>
          <a:endParaRPr lang="en-US"/>
        </a:p>
      </dgm:t>
    </dgm:pt>
    <dgm:pt modelId="{4AE6C15B-B658-4D96-BD88-51195E03A23B}">
      <dgm:prSet phldrT="[Texto]"/>
      <dgm:spPr/>
      <dgm:t>
        <a:bodyPr/>
        <a:lstStyle/>
        <a:p>
          <a:r>
            <a:rPr lang="en-US"/>
            <a:t>Casos y Controles: E</a:t>
          </a:r>
          <a:r>
            <a:rPr lang="en-US" b="0" i="0"/>
            <a:t>s un estudio epidemiológico, observacional, analítico, en los sujetos son seleccionados en función de que tengan (casos) o no tengan (control) una determinada enfermedad, o en general un determinado efecto</a:t>
          </a:r>
        </a:p>
        <a:p>
          <a:r>
            <a:rPr lang="en-US" b="0" i="0"/>
            <a:t>.Nivel de evidencia 2 B</a:t>
          </a:r>
        </a:p>
        <a:p>
          <a:r>
            <a:rPr lang="es-ES"/>
            <a:t>Sesgos más comunes son: </a:t>
          </a:r>
          <a:endParaRPr lang="en-US"/>
        </a:p>
        <a:p>
          <a:r>
            <a:rPr lang="es-ES"/>
            <a:t>Sesgos de selección </a:t>
          </a:r>
          <a:endParaRPr lang="en-US"/>
        </a:p>
        <a:p>
          <a:r>
            <a:rPr lang="es-ES"/>
            <a:t>Sesgos durante el seguimiento </a:t>
          </a:r>
          <a:endParaRPr lang="en-US"/>
        </a:p>
        <a:p>
          <a:r>
            <a:rPr lang="es-ES"/>
            <a:t>Sesgos de información </a:t>
          </a:r>
          <a:endParaRPr lang="en-US"/>
        </a:p>
        <a:p>
          <a:r>
            <a:rPr lang="es-ES"/>
            <a:t>sesgos de confusión</a:t>
          </a:r>
        </a:p>
        <a:p>
          <a:r>
            <a:rPr lang="en-US"/>
            <a:t>El uso de casos incidentes presenta varias ventajas en comparación con el uso de </a:t>
          </a:r>
        </a:p>
        <a:p>
          <a:r>
            <a:rPr lang="en-US"/>
            <a:t>casos prevalentes: a) disminución del sesgo de memoria porque el sujeto puede </a:t>
          </a:r>
        </a:p>
        <a:p>
          <a:r>
            <a:rPr lang="en-US"/>
            <a:t>recordar mejor la experiencia pasada por ser más reciente; b) la supervivencia del </a:t>
          </a:r>
        </a:p>
        <a:p>
          <a:r>
            <a:rPr lang="en-US"/>
            <a:t>enfermo no está condicionada por los factores de riesgo como pudiera ocurrir en </a:t>
          </a:r>
        </a:p>
        <a:p>
          <a:r>
            <a:rPr lang="en-US"/>
            <a:t>los casos prevalentes; y c) es menos probable que los casos incidentes hayan </a:t>
          </a:r>
        </a:p>
        <a:p>
          <a:r>
            <a:rPr lang="en-US"/>
            <a:t>modificado la exposición al factor de riesgo como resultado de la enfermedad</a:t>
          </a:r>
          <a:r>
            <a:rPr lang="es-ES"/>
            <a:t> </a:t>
          </a:r>
          <a:endParaRPr lang="en-US"/>
        </a:p>
      </dgm:t>
    </dgm:pt>
    <dgm:pt modelId="{87B00AA0-C2FD-48BD-A076-0848F779A140}" type="parTrans" cxnId="{8E393ABB-95C2-4A39-870E-858FB887CCA5}">
      <dgm:prSet/>
      <dgm:spPr/>
      <dgm:t>
        <a:bodyPr/>
        <a:lstStyle/>
        <a:p>
          <a:endParaRPr lang="en-US"/>
        </a:p>
      </dgm:t>
    </dgm:pt>
    <dgm:pt modelId="{FDDCDC0E-3BBC-49BC-8913-8C87D168CB73}" type="sibTrans" cxnId="{8E393ABB-95C2-4A39-870E-858FB887CCA5}">
      <dgm:prSet/>
      <dgm:spPr/>
      <dgm:t>
        <a:bodyPr/>
        <a:lstStyle/>
        <a:p>
          <a:endParaRPr lang="en-US"/>
        </a:p>
      </dgm:t>
    </dgm:pt>
    <dgm:pt modelId="{FC19350A-7587-4BCC-8570-B298AA19C6FA}">
      <dgm:prSet phldrT="[Texto]"/>
      <dgm:spPr/>
      <dgm:t>
        <a:bodyPr/>
        <a:lstStyle/>
        <a:p>
          <a:r>
            <a:rPr lang="en-US" b="0" i="0">
              <a:latin typeface="+mn-lt"/>
            </a:rPr>
            <a:t>Las variables cualitativas pueden ser dicotómicas cuando sólo pueden tomar dos valores </a:t>
          </a:r>
          <a:r>
            <a:rPr lang="en-US" b="0" i="0">
              <a:latin typeface="+mn-lt"/>
              <a:cs typeface="Arial" panose="020B0604020202020204" pitchFamily="34" charset="0"/>
            </a:rPr>
            <a:t>posibles, </a:t>
          </a:r>
          <a:r>
            <a:rPr lang="en-US" b="0" i="1">
              <a:latin typeface="+mn-lt"/>
              <a:cs typeface="Arial" panose="020B0604020202020204" pitchFamily="34" charset="0"/>
            </a:rPr>
            <a:t>como sí y no, hombre y mujer o ser politómicas cuando pueden adquirir tres o más valores.</a:t>
          </a:r>
        </a:p>
        <a:p>
          <a:r>
            <a:rPr lang="en-US" b="0" i="1">
              <a:latin typeface="+mn-lt"/>
              <a:cs typeface="Arial" panose="020B0604020202020204" pitchFamily="34" charset="0"/>
            </a:rPr>
            <a:t>NIivel de evidencia 2-1</a:t>
          </a:r>
        </a:p>
        <a:p>
          <a:r>
            <a:rPr lang="es-ES"/>
            <a:t>Sesgos más comunes son: </a:t>
          </a:r>
          <a:endParaRPr lang="en-US"/>
        </a:p>
        <a:p>
          <a:r>
            <a:rPr lang="es-ES"/>
            <a:t>Sesgos de selección </a:t>
          </a:r>
          <a:endParaRPr lang="en-US"/>
        </a:p>
        <a:p>
          <a:r>
            <a:rPr lang="es-ES"/>
            <a:t>Sesgos durante el seguimiento </a:t>
          </a:r>
          <a:endParaRPr lang="en-US"/>
        </a:p>
        <a:p>
          <a:r>
            <a:rPr lang="es-ES"/>
            <a:t>Sesgos de información </a:t>
          </a:r>
          <a:endParaRPr lang="en-US"/>
        </a:p>
        <a:p>
          <a:r>
            <a:rPr lang="es-ES"/>
            <a:t>sesgos de confusión</a:t>
          </a:r>
          <a:endParaRPr lang="en-US" b="0" i="1">
            <a:latin typeface="+mn-lt"/>
            <a:cs typeface="Arial" panose="020B0604020202020204" pitchFamily="34" charset="0"/>
          </a:endParaRPr>
        </a:p>
        <a:p>
          <a:endParaRPr lang="en-US" b="0" i="1">
            <a:latin typeface="+mn-lt"/>
            <a:cs typeface="Arial" panose="020B0604020202020204" pitchFamily="34" charset="0"/>
          </a:endParaRPr>
        </a:p>
      </dgm:t>
    </dgm:pt>
    <dgm:pt modelId="{1A4DB8A7-3178-400E-ADBA-151113979A1A}" type="parTrans" cxnId="{EBA01150-27E2-4A80-8615-A105062394C5}">
      <dgm:prSet/>
      <dgm:spPr/>
      <dgm:t>
        <a:bodyPr/>
        <a:lstStyle/>
        <a:p>
          <a:endParaRPr lang="en-US"/>
        </a:p>
      </dgm:t>
    </dgm:pt>
    <dgm:pt modelId="{E29183A1-A421-404A-B8E3-57A4493EAE7F}" type="sibTrans" cxnId="{EBA01150-27E2-4A80-8615-A105062394C5}">
      <dgm:prSet/>
      <dgm:spPr/>
      <dgm:t>
        <a:bodyPr/>
        <a:lstStyle/>
        <a:p>
          <a:endParaRPr lang="en-US"/>
        </a:p>
      </dgm:t>
    </dgm:pt>
    <dgm:pt modelId="{5DF76E25-58B0-4626-B815-BEA67F98E535}" type="pres">
      <dgm:prSet presAssocID="{BA1A5751-D11D-4076-9B14-E92A3C5A5E2E}" presName="Name0" presStyleCnt="0">
        <dgm:presLayoutVars>
          <dgm:dir/>
          <dgm:resizeHandles val="exact"/>
        </dgm:presLayoutVars>
      </dgm:prSet>
      <dgm:spPr/>
    </dgm:pt>
    <dgm:pt modelId="{B45F395A-1D99-4483-8B23-80873E8E9318}" type="pres">
      <dgm:prSet presAssocID="{748151BA-F91F-49A0-8A42-EA03B3DBA113}" presName="node" presStyleLbl="node1" presStyleIdx="0" presStyleCnt="3">
        <dgm:presLayoutVars>
          <dgm:bulletEnabled val="1"/>
        </dgm:presLayoutVars>
      </dgm:prSet>
      <dgm:spPr/>
    </dgm:pt>
    <dgm:pt modelId="{83E45B87-32B8-455B-BF7D-90BC244E0011}" type="pres">
      <dgm:prSet presAssocID="{17F5C8D7-90B8-4D3F-AD74-6EB5F0BF6114}" presName="sibTrans" presStyleCnt="0"/>
      <dgm:spPr/>
    </dgm:pt>
    <dgm:pt modelId="{A6EFC612-0CCB-4ECE-BCA3-45C35652AABC}" type="pres">
      <dgm:prSet presAssocID="{4AE6C15B-B658-4D96-BD88-51195E03A23B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BC27E7-9720-43F7-B5D6-571CC0BDCE33}" type="pres">
      <dgm:prSet presAssocID="{FDDCDC0E-3BBC-49BC-8913-8C87D168CB73}" presName="sibTrans" presStyleCnt="0"/>
      <dgm:spPr/>
    </dgm:pt>
    <dgm:pt modelId="{FED1D2D1-927E-4296-BC53-0C558C783150}" type="pres">
      <dgm:prSet presAssocID="{FC19350A-7587-4BCC-8570-B298AA19C6F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C5549C9-6188-47B3-812E-570D86434651}" type="presOf" srcId="{4AE6C15B-B658-4D96-BD88-51195E03A23B}" destId="{A6EFC612-0CCB-4ECE-BCA3-45C35652AABC}" srcOrd="0" destOrd="0" presId="urn:microsoft.com/office/officeart/2005/8/layout/hList6"/>
    <dgm:cxn modelId="{3E4EEAC0-E467-4DC8-BB82-DBAFFD756E15}" type="presOf" srcId="{BA1A5751-D11D-4076-9B14-E92A3C5A5E2E}" destId="{5DF76E25-58B0-4626-B815-BEA67F98E535}" srcOrd="0" destOrd="0" presId="urn:microsoft.com/office/officeart/2005/8/layout/hList6"/>
    <dgm:cxn modelId="{B1D13CA2-CBD0-4198-AC3D-AD04D239B86F}" type="presOf" srcId="{FC19350A-7587-4BCC-8570-B298AA19C6FA}" destId="{FED1D2D1-927E-4296-BC53-0C558C783150}" srcOrd="0" destOrd="0" presId="urn:microsoft.com/office/officeart/2005/8/layout/hList6"/>
    <dgm:cxn modelId="{8E393ABB-95C2-4A39-870E-858FB887CCA5}" srcId="{BA1A5751-D11D-4076-9B14-E92A3C5A5E2E}" destId="{4AE6C15B-B658-4D96-BD88-51195E03A23B}" srcOrd="1" destOrd="0" parTransId="{87B00AA0-C2FD-48BD-A076-0848F779A140}" sibTransId="{FDDCDC0E-3BBC-49BC-8913-8C87D168CB73}"/>
    <dgm:cxn modelId="{35F15C23-231C-4D0A-81AD-DB673EAFC93B}" srcId="{BA1A5751-D11D-4076-9B14-E92A3C5A5E2E}" destId="{748151BA-F91F-49A0-8A42-EA03B3DBA113}" srcOrd="0" destOrd="0" parTransId="{8485B767-8FAB-4887-9A6B-FB91D1933031}" sibTransId="{17F5C8D7-90B8-4D3F-AD74-6EB5F0BF6114}"/>
    <dgm:cxn modelId="{EBA01150-27E2-4A80-8615-A105062394C5}" srcId="{BA1A5751-D11D-4076-9B14-E92A3C5A5E2E}" destId="{FC19350A-7587-4BCC-8570-B298AA19C6FA}" srcOrd="2" destOrd="0" parTransId="{1A4DB8A7-3178-400E-ADBA-151113979A1A}" sibTransId="{E29183A1-A421-404A-B8E3-57A4493EAE7F}"/>
    <dgm:cxn modelId="{EA15141B-79FB-440F-B84F-92D8766DC034}" type="presOf" srcId="{748151BA-F91F-49A0-8A42-EA03B3DBA113}" destId="{B45F395A-1D99-4483-8B23-80873E8E9318}" srcOrd="0" destOrd="0" presId="urn:microsoft.com/office/officeart/2005/8/layout/hList6"/>
    <dgm:cxn modelId="{4C6B06DA-3C34-4ED5-A33C-4105F41252DA}" type="presParOf" srcId="{5DF76E25-58B0-4626-B815-BEA67F98E535}" destId="{B45F395A-1D99-4483-8B23-80873E8E9318}" srcOrd="0" destOrd="0" presId="urn:microsoft.com/office/officeart/2005/8/layout/hList6"/>
    <dgm:cxn modelId="{F1FEEE68-2B4C-44D6-9654-520064EB46B4}" type="presParOf" srcId="{5DF76E25-58B0-4626-B815-BEA67F98E535}" destId="{83E45B87-32B8-455B-BF7D-90BC244E0011}" srcOrd="1" destOrd="0" presId="urn:microsoft.com/office/officeart/2005/8/layout/hList6"/>
    <dgm:cxn modelId="{B2CCDC9D-D2BD-4440-A520-6D0A784DF7E3}" type="presParOf" srcId="{5DF76E25-58B0-4626-B815-BEA67F98E535}" destId="{A6EFC612-0CCB-4ECE-BCA3-45C35652AABC}" srcOrd="2" destOrd="0" presId="urn:microsoft.com/office/officeart/2005/8/layout/hList6"/>
    <dgm:cxn modelId="{871CC28C-F8A6-42DA-86B2-62C215397996}" type="presParOf" srcId="{5DF76E25-58B0-4626-B815-BEA67F98E535}" destId="{1CBC27E7-9720-43F7-B5D6-571CC0BDCE33}" srcOrd="3" destOrd="0" presId="urn:microsoft.com/office/officeart/2005/8/layout/hList6"/>
    <dgm:cxn modelId="{B4631289-10AC-4ADC-93DE-67651BBF4D0A}" type="presParOf" srcId="{5DF76E25-58B0-4626-B815-BEA67F98E535}" destId="{FED1D2D1-927E-4296-BC53-0C558C783150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5F395A-1D99-4483-8B23-80873E8E9318}">
      <dsp:nvSpPr>
        <dsp:cNvPr id="0" name=""/>
        <dsp:cNvSpPr/>
      </dsp:nvSpPr>
      <dsp:spPr>
        <a:xfrm rot="16200000">
          <a:off x="-2176154" y="2177174"/>
          <a:ext cx="7006590" cy="2652241"/>
        </a:xfrm>
        <a:prstGeom prst="flowChartManualOperati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0" tIns="0" rIns="66283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 Cohortes:Procedimiento analítico no experimental, más bien observacional prospectivo o retrospectivo.</a:t>
          </a: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Nivel de Evidencia 2 B</a:t>
          </a: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Hace punto de referencia  a la determinación del factor de riesgo .La valoración  de las exposición debe ser válida  y  definir a los individuos a riesgo establecer la base para el seguimiento y obtener datos  sobre variables importantes es decir otras exposiciones que puedan asociarse con  el riesgo  de adquirir la enfermedad ara tenerlas en cuenta en la atapa del análisis.</a:t>
          </a: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Sesgos más comunes son: </a:t>
          </a: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Sesgos de selección </a:t>
          </a: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Sesgos durante el seguimiento </a:t>
          </a: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Sesgos de información </a:t>
          </a: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sesgos de confusión </a:t>
          </a:r>
          <a:endParaRPr lang="en-US" sz="1000" kern="1200"/>
        </a:p>
      </dsp:txBody>
      <dsp:txXfrm rot="5400000">
        <a:off x="1020" y="1401318"/>
        <a:ext cx="2652241" cy="4203954"/>
      </dsp:txXfrm>
    </dsp:sp>
    <dsp:sp modelId="{A6EFC612-0CCB-4ECE-BCA3-45C35652AABC}">
      <dsp:nvSpPr>
        <dsp:cNvPr id="0" name=""/>
        <dsp:cNvSpPr/>
      </dsp:nvSpPr>
      <dsp:spPr>
        <a:xfrm rot="16200000">
          <a:off x="675004" y="2177174"/>
          <a:ext cx="7006590" cy="2652241"/>
        </a:xfrm>
        <a:prstGeom prst="flowChartManualOperation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0" tIns="0" rIns="66283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Casos y Controles: E</a:t>
          </a:r>
          <a:r>
            <a:rPr lang="en-US" sz="1000" b="0" i="0" kern="1200"/>
            <a:t>s un estudio epidemiológico, observacional, analítico, en los sujetos son seleccionados en función de que tengan (casos) o no tengan (control) una determinada enfermedad, o en general un determinado efecto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/>
            <a:t>.Nivel de evidencia 2 B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Sesgos más comunes son: </a:t>
          </a: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Sesgos de selección </a:t>
          </a: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Sesgos durante el seguimiento </a:t>
          </a: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Sesgos de información </a:t>
          </a: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sesgos de confusión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El uso de casos incidentes presenta varias ventajas en comparación con el uso de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casos prevalentes: a) disminución del sesgo de memoria porque el sujeto puede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recordar mejor la experiencia pasada por ser más reciente; b) la supervivencia del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enfermo no está condicionada por los factores de riesgo como pudiera ocurrir en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los casos prevalentes; y c) es menos probable que los casos incidentes hayan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modificado la exposición al factor de riesgo como resultado de la enfermedad</a:t>
          </a:r>
          <a:r>
            <a:rPr lang="es-ES" sz="1000" kern="1200"/>
            <a:t> </a:t>
          </a:r>
          <a:endParaRPr lang="en-US" sz="1000" kern="1200"/>
        </a:p>
      </dsp:txBody>
      <dsp:txXfrm rot="5400000">
        <a:off x="2852178" y="1401318"/>
        <a:ext cx="2652241" cy="4203954"/>
      </dsp:txXfrm>
    </dsp:sp>
    <dsp:sp modelId="{FED1D2D1-927E-4296-BC53-0C558C783150}">
      <dsp:nvSpPr>
        <dsp:cNvPr id="0" name=""/>
        <dsp:cNvSpPr/>
      </dsp:nvSpPr>
      <dsp:spPr>
        <a:xfrm rot="16200000">
          <a:off x="3526164" y="2177174"/>
          <a:ext cx="7006590" cy="2652241"/>
        </a:xfrm>
        <a:prstGeom prst="flowChartManualOperati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0" tIns="0" rIns="66283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+mn-lt"/>
            </a:rPr>
            <a:t>Las variables cualitativas pueden ser dicotómicas cuando sólo pueden tomar dos valores </a:t>
          </a:r>
          <a:r>
            <a:rPr lang="en-US" sz="1000" b="0" i="0" kern="1200">
              <a:latin typeface="+mn-lt"/>
              <a:cs typeface="Arial" panose="020B0604020202020204" pitchFamily="34" charset="0"/>
            </a:rPr>
            <a:t>posibles, </a:t>
          </a:r>
          <a:r>
            <a:rPr lang="en-US" sz="1000" b="0" i="1" kern="1200">
              <a:latin typeface="+mn-lt"/>
              <a:cs typeface="Arial" panose="020B0604020202020204" pitchFamily="34" charset="0"/>
            </a:rPr>
            <a:t>como sí y no, hombre y mujer o ser politómicas cuando pueden adquirir tres o más valores.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1" kern="1200">
              <a:latin typeface="+mn-lt"/>
              <a:cs typeface="Arial" panose="020B0604020202020204" pitchFamily="34" charset="0"/>
            </a:rPr>
            <a:t>NIivel de evidencia 2-1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Sesgos más comunes son: </a:t>
          </a: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Sesgos de selección </a:t>
          </a: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Sesgos durante el seguimiento </a:t>
          </a: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Sesgos de información </a:t>
          </a: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sesgos de confusión</a:t>
          </a:r>
          <a:endParaRPr lang="en-US" sz="1000" b="0" i="1" kern="1200">
            <a:latin typeface="+mn-lt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0" i="1" kern="1200">
            <a:latin typeface="+mn-lt"/>
            <a:cs typeface="Arial" panose="020B0604020202020204" pitchFamily="34" charset="0"/>
          </a:endParaRPr>
        </a:p>
      </dsp:txBody>
      <dsp:txXfrm rot="5400000">
        <a:off x="5703338" y="1401318"/>
        <a:ext cx="2652241" cy="42039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20DC-1EB8-426E-B4D6-B309F8F1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2014-03-20T22:28:00Z</dcterms:created>
  <dcterms:modified xsi:type="dcterms:W3CDTF">2014-03-21T02:16:00Z</dcterms:modified>
</cp:coreProperties>
</file>