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05" w:rsidRDefault="00A6254E" w:rsidP="00BB014B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58240" behindDoc="0" locked="0" layoutInCell="1" allowOverlap="1" wp14:anchorId="27B1F0C9" wp14:editId="706F246F">
            <wp:simplePos x="0" y="0"/>
            <wp:positionH relativeFrom="margin">
              <wp:align>center</wp:align>
            </wp:positionH>
            <wp:positionV relativeFrom="margin">
              <wp:posOffset>-577850</wp:posOffset>
            </wp:positionV>
            <wp:extent cx="4464050" cy="1104900"/>
            <wp:effectExtent l="0" t="0" r="0" b="0"/>
            <wp:wrapSquare wrapText="bothSides"/>
            <wp:docPr id="1" name="Imagen 1" descr="Resultado de imagen para guadalajara lam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adalajara lam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005" w:rsidRDefault="003D0005" w:rsidP="00BB014B">
      <w:pPr>
        <w:jc w:val="center"/>
      </w:pPr>
    </w:p>
    <w:p w:rsidR="003D0005" w:rsidRDefault="003D0005" w:rsidP="00BB014B">
      <w:pPr>
        <w:jc w:val="center"/>
      </w:pPr>
    </w:p>
    <w:p w:rsidR="003D0005" w:rsidRPr="0085134F" w:rsidRDefault="00A6254E" w:rsidP="00BB014B">
      <w:pPr>
        <w:jc w:val="center"/>
        <w:rPr>
          <w:sz w:val="32"/>
        </w:rPr>
      </w:pPr>
      <w:r w:rsidRPr="0085134F">
        <w:rPr>
          <w:sz w:val="32"/>
        </w:rPr>
        <w:t xml:space="preserve">Universidad Guadalajara LAMAR </w:t>
      </w: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A6254E" w:rsidRPr="0085134F" w:rsidRDefault="00A6254E" w:rsidP="00BB014B">
      <w:pPr>
        <w:jc w:val="center"/>
        <w:rPr>
          <w:sz w:val="32"/>
        </w:rPr>
      </w:pPr>
      <w:r w:rsidRPr="0085134F">
        <w:rPr>
          <w:sz w:val="32"/>
        </w:rPr>
        <w:t xml:space="preserve">Medicina Basada en evidencia </w:t>
      </w:r>
    </w:p>
    <w:p w:rsidR="0085134F" w:rsidRDefault="0085134F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</w:p>
    <w:p w:rsidR="0085134F" w:rsidRDefault="0085134F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</w:p>
    <w:p w:rsidR="00A6254E" w:rsidRPr="0085134F" w:rsidRDefault="00A6254E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  <w:r w:rsidRPr="0085134F">
        <w:rPr>
          <w:rFonts w:ascii="Arial" w:hAnsi="Arial" w:cs="Arial"/>
          <w:color w:val="666666"/>
          <w:sz w:val="28"/>
          <w:szCs w:val="21"/>
        </w:rPr>
        <w:t xml:space="preserve">HUGO </w:t>
      </w:r>
      <w:proofErr w:type="gramStart"/>
      <w:r w:rsidRPr="0085134F">
        <w:rPr>
          <w:rFonts w:ascii="Arial" w:hAnsi="Arial" w:cs="Arial"/>
          <w:color w:val="666666"/>
          <w:sz w:val="28"/>
          <w:szCs w:val="21"/>
        </w:rPr>
        <w:t>FRANCISCO  VILLALOBOS</w:t>
      </w:r>
      <w:proofErr w:type="gramEnd"/>
      <w:r w:rsidRPr="0085134F">
        <w:rPr>
          <w:rFonts w:ascii="Arial" w:hAnsi="Arial" w:cs="Arial"/>
          <w:color w:val="666666"/>
          <w:sz w:val="28"/>
          <w:szCs w:val="21"/>
        </w:rPr>
        <w:t xml:space="preserve"> ANZALDO</w:t>
      </w:r>
    </w:p>
    <w:p w:rsidR="0085134F" w:rsidRDefault="0085134F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</w:p>
    <w:p w:rsidR="0085134F" w:rsidRDefault="0085134F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</w:p>
    <w:p w:rsidR="0085134F" w:rsidRDefault="0085134F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</w:p>
    <w:p w:rsidR="00A6254E" w:rsidRPr="0085134F" w:rsidRDefault="00A6254E" w:rsidP="00BB014B">
      <w:pPr>
        <w:jc w:val="center"/>
        <w:rPr>
          <w:rFonts w:ascii="Arial" w:hAnsi="Arial" w:cs="Arial"/>
          <w:color w:val="666666"/>
          <w:sz w:val="28"/>
          <w:szCs w:val="21"/>
        </w:rPr>
      </w:pPr>
      <w:r w:rsidRPr="0085134F">
        <w:rPr>
          <w:rFonts w:ascii="Arial" w:hAnsi="Arial" w:cs="Arial"/>
          <w:color w:val="666666"/>
          <w:sz w:val="28"/>
          <w:szCs w:val="21"/>
        </w:rPr>
        <w:t xml:space="preserve">Alberto Daniel Rodriguez </w:t>
      </w:r>
      <w:proofErr w:type="spellStart"/>
      <w:r w:rsidRPr="0085134F">
        <w:rPr>
          <w:rFonts w:ascii="Arial" w:hAnsi="Arial" w:cs="Arial"/>
          <w:color w:val="666666"/>
          <w:sz w:val="28"/>
          <w:szCs w:val="21"/>
        </w:rPr>
        <w:t>Rodriguez</w:t>
      </w:r>
      <w:proofErr w:type="spellEnd"/>
      <w:r w:rsidRPr="0085134F">
        <w:rPr>
          <w:rFonts w:ascii="Arial" w:hAnsi="Arial" w:cs="Arial"/>
          <w:color w:val="666666"/>
          <w:sz w:val="28"/>
          <w:szCs w:val="21"/>
        </w:rPr>
        <w:t xml:space="preserve"> </w:t>
      </w: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A6254E" w:rsidRPr="0085134F" w:rsidRDefault="00A6254E" w:rsidP="00BB014B">
      <w:pPr>
        <w:jc w:val="center"/>
        <w:rPr>
          <w:sz w:val="32"/>
        </w:rPr>
      </w:pPr>
      <w:r w:rsidRPr="0085134F">
        <w:rPr>
          <w:sz w:val="32"/>
        </w:rPr>
        <w:t>Actividad Preliminar "Conceptos de Epidemiologia clínica"</w:t>
      </w: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A6254E" w:rsidRPr="0085134F" w:rsidRDefault="00A6254E" w:rsidP="00BB014B">
      <w:pPr>
        <w:jc w:val="center"/>
        <w:rPr>
          <w:sz w:val="32"/>
        </w:rPr>
      </w:pPr>
      <w:r w:rsidRPr="0085134F">
        <w:rPr>
          <w:sz w:val="32"/>
        </w:rPr>
        <w:t xml:space="preserve">8vo Semestre </w:t>
      </w: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85134F" w:rsidRDefault="0085134F" w:rsidP="00BB014B">
      <w:pPr>
        <w:jc w:val="center"/>
        <w:rPr>
          <w:sz w:val="32"/>
        </w:rPr>
      </w:pPr>
    </w:p>
    <w:p w:rsidR="00A6254E" w:rsidRPr="0085134F" w:rsidRDefault="00A6254E" w:rsidP="00BB014B">
      <w:pPr>
        <w:jc w:val="center"/>
        <w:rPr>
          <w:sz w:val="32"/>
        </w:rPr>
      </w:pPr>
      <w:r w:rsidRPr="0085134F">
        <w:rPr>
          <w:sz w:val="32"/>
        </w:rPr>
        <w:t>23/01/</w:t>
      </w:r>
      <w:r w:rsidR="0085134F" w:rsidRPr="0085134F">
        <w:rPr>
          <w:sz w:val="32"/>
        </w:rPr>
        <w:t>2017</w:t>
      </w:r>
    </w:p>
    <w:p w:rsidR="0085134F" w:rsidRDefault="0085134F" w:rsidP="00BB014B">
      <w:pPr>
        <w:jc w:val="center"/>
      </w:pPr>
    </w:p>
    <w:p w:rsidR="00BB014B" w:rsidRPr="0085134F" w:rsidRDefault="00BB014B" w:rsidP="00BB014B">
      <w:pPr>
        <w:jc w:val="center"/>
        <w:rPr>
          <w:b/>
          <w:sz w:val="32"/>
        </w:rPr>
      </w:pPr>
      <w:bookmarkStart w:id="0" w:name="_GoBack"/>
      <w:r w:rsidRPr="0085134F">
        <w:rPr>
          <w:b/>
          <w:sz w:val="32"/>
        </w:rPr>
        <w:lastRenderedPageBreak/>
        <w:t xml:space="preserve">Historia de la Medicina Basada en evidencia </w:t>
      </w:r>
    </w:p>
    <w:bookmarkEnd w:id="0"/>
    <w:p w:rsidR="00BB014B" w:rsidRDefault="00BB014B" w:rsidP="00BB014B">
      <w:pPr>
        <w:jc w:val="center"/>
      </w:pPr>
    </w:p>
    <w:p w:rsidR="00BB014B" w:rsidRDefault="00BB014B" w:rsidP="00421111">
      <w:r>
        <w:t xml:space="preserve">La </w:t>
      </w:r>
      <w:r w:rsidRPr="00BB014B">
        <w:t xml:space="preserve">historia más reciente debemos hacer referencia a la Escuela de Medicina de la Universidad </w:t>
      </w:r>
      <w:proofErr w:type="spellStart"/>
      <w:r w:rsidRPr="00BB014B">
        <w:t>McMaster</w:t>
      </w:r>
      <w:proofErr w:type="spellEnd"/>
      <w:r w:rsidRPr="00BB014B">
        <w:t xml:space="preserve"> en Hamilton, Ontario, Canadá.  Esta referencia es de suma importancia pues lo novedoso de la propuesta educativa que esta Universidad ha comenzado a desarrollar a fines de la década del '60, es su orientación comunitaria centrada en las personas, interdisciplinaria y con aprendizaje basado en problemas</w:t>
      </w:r>
      <w:r w:rsidR="00421111">
        <w:t xml:space="preserve"> </w:t>
      </w:r>
      <w:r w:rsidR="00421111" w:rsidRPr="00421111">
        <w:t xml:space="preserve">La creación de esta Escuela de Medicina nos acerca a uno de los pioneros en el aprendizaje y práctica de la Medicina Basada Evidencia, David </w:t>
      </w:r>
      <w:proofErr w:type="spellStart"/>
      <w:r w:rsidR="00421111" w:rsidRPr="00421111">
        <w:t>Sackett</w:t>
      </w:r>
      <w:proofErr w:type="spellEnd"/>
      <w:r w:rsidR="00421111" w:rsidRPr="00421111">
        <w:t>.  Este médico estadounidense procedente de un pequeño pueblo rural al oeste de Chicago, que recibió su primer entrenamiento en la Universidad de Illinois y  comenzó su carrera como investigador clínico y básico en nefrología detectó la importancia de la epidemiología y las estadísticas</w:t>
      </w:r>
      <w:r w:rsidR="00421111">
        <w:t xml:space="preserve"> </w:t>
      </w:r>
      <w:r w:rsidR="00421111" w:rsidRPr="00421111">
        <w:t xml:space="preserve">A los 49 años, </w:t>
      </w:r>
      <w:proofErr w:type="spellStart"/>
      <w:r w:rsidR="00421111" w:rsidRPr="00421111">
        <w:t>Sackett</w:t>
      </w:r>
      <w:proofErr w:type="spellEnd"/>
      <w:r w:rsidR="00421111" w:rsidRPr="00421111">
        <w:t xml:space="preserve"> decidió entrenarse en Medicina General para poder aplicar sus predicas a la </w:t>
      </w:r>
      <w:proofErr w:type="spellStart"/>
      <w:r w:rsidR="00421111" w:rsidRPr="00421111">
        <w:t>practica</w:t>
      </w:r>
      <w:proofErr w:type="spellEnd"/>
      <w:r w:rsidR="00421111" w:rsidRPr="00421111">
        <w:t xml:space="preserve"> diaria y actualmente se desempeña como consultor general del Hospital John </w:t>
      </w:r>
      <w:proofErr w:type="spellStart"/>
      <w:r w:rsidR="00421111" w:rsidRPr="00421111">
        <w:t>Radcliff</w:t>
      </w:r>
      <w:proofErr w:type="spellEnd"/>
      <w:r w:rsidR="00421111" w:rsidRPr="00421111">
        <w:t xml:space="preserve"> y Director del Centro para la Medicina Basada en la Evidencia del Instituto Nacional de la Salud Ingles en Oxford.  </w:t>
      </w:r>
      <w:r w:rsidR="00421111">
        <w:t xml:space="preserve">entusiasta epidemiólogo Archie Cochrane, fallecido en 1988, quien preocupado desde la década del ’70 al reconocer </w:t>
      </w:r>
      <w:r w:rsidR="003D0005">
        <w:t>que los</w:t>
      </w:r>
      <w:r w:rsidR="00421111">
        <w:t xml:space="preserve"> recursos de salud son siempre </w:t>
      </w:r>
      <w:r w:rsidR="003D0005">
        <w:t>limitados sugirió</w:t>
      </w:r>
      <w:r w:rsidR="00421111">
        <w:t xml:space="preserve"> que la efectividad</w:t>
      </w:r>
      <w:r w:rsidR="00421111">
        <w:t xml:space="preserve"> </w:t>
      </w:r>
      <w:r w:rsidR="00421111" w:rsidRPr="00421111">
        <w:t>de las prácticas relacionadas a la salud debe ser juzgada sobre la base de las pruebas procedentes de trabajos controlados.</w:t>
      </w:r>
      <w:r w:rsidR="00421111">
        <w:t xml:space="preserve"> </w:t>
      </w:r>
    </w:p>
    <w:p w:rsidR="00421111" w:rsidRDefault="00421111" w:rsidP="00421111">
      <w:r w:rsidRPr="00421111">
        <w:t xml:space="preserve">Sus ideas guiaron a un grupo de investigadores de Oxford, </w:t>
      </w:r>
      <w:proofErr w:type="spellStart"/>
      <w:r w:rsidRPr="00421111">
        <w:t>Iain</w:t>
      </w:r>
      <w:proofErr w:type="spellEnd"/>
      <w:r w:rsidRPr="00421111">
        <w:t xml:space="preserve"> </w:t>
      </w:r>
      <w:proofErr w:type="spellStart"/>
      <w:r w:rsidRPr="00421111">
        <w:t>Chalmers</w:t>
      </w:r>
      <w:proofErr w:type="spellEnd"/>
      <w:r w:rsidRPr="00421111">
        <w:t xml:space="preserve"> entre </w:t>
      </w:r>
      <w:r w:rsidR="003D0005" w:rsidRPr="00421111">
        <w:t>otros, para</w:t>
      </w:r>
      <w:r w:rsidRPr="00421111">
        <w:t xml:space="preserve"> trabajar desde fines de la década del’70 en la construcción de una base de datos con revisiones sistemáticas </w:t>
      </w:r>
      <w:proofErr w:type="gramStart"/>
      <w:r w:rsidRPr="00421111">
        <w:t>de  trabajos</w:t>
      </w:r>
      <w:proofErr w:type="gramEnd"/>
      <w:r w:rsidRPr="00421111">
        <w:t xml:space="preserve"> controlados y </w:t>
      </w:r>
      <w:proofErr w:type="spellStart"/>
      <w:r w:rsidRPr="00421111">
        <w:t>randomizados</w:t>
      </w:r>
      <w:proofErr w:type="spellEnd"/>
      <w:r w:rsidRPr="00421111">
        <w:t>.  Así en 1989 se publicó el libro “</w:t>
      </w:r>
      <w:proofErr w:type="spellStart"/>
      <w:r w:rsidRPr="00421111">
        <w:t>Effective</w:t>
      </w:r>
      <w:proofErr w:type="spellEnd"/>
      <w:r w:rsidRPr="00421111">
        <w:t xml:space="preserve"> </w:t>
      </w:r>
      <w:proofErr w:type="spellStart"/>
      <w:r w:rsidRPr="00421111">
        <w:t>Care</w:t>
      </w:r>
      <w:proofErr w:type="spellEnd"/>
      <w:r w:rsidRPr="00421111">
        <w:t xml:space="preserve"> in </w:t>
      </w:r>
      <w:proofErr w:type="spellStart"/>
      <w:r w:rsidRPr="00421111">
        <w:t>Pregnacy</w:t>
      </w:r>
      <w:proofErr w:type="spellEnd"/>
      <w:r w:rsidRPr="00421111">
        <w:t xml:space="preserve"> and </w:t>
      </w:r>
      <w:proofErr w:type="spellStart"/>
      <w:r w:rsidRPr="00421111">
        <w:t>Childbirth</w:t>
      </w:r>
      <w:proofErr w:type="spellEnd"/>
      <w:r w:rsidRPr="00421111">
        <w:t xml:space="preserve">”. Este esfuerzo se terminaría convirtiendo en la Colaboración Cochrane4 fundada en 1992.   La Colaboración Cochrane inicialmente con base en Oxford es una organización internacional que busca ayudar a quienes necesitan tomar decisiones bien informadas en atención de salud. Esta organización prepara, actualiza, </w:t>
      </w:r>
      <w:proofErr w:type="spellStart"/>
      <w:r w:rsidRPr="00421111">
        <w:t>promSus</w:t>
      </w:r>
      <w:proofErr w:type="spellEnd"/>
      <w:r w:rsidRPr="00421111">
        <w:t xml:space="preserve"> acciones se basan en ciertos principios claves que incluyen la colaboración, basar su desarrollo en el entusiasmo individual, evitar la duplicación de esfuerzos, minimizar el </w:t>
      </w:r>
      <w:r w:rsidR="00570948" w:rsidRPr="00421111">
        <w:t>sesgo, promover</w:t>
      </w:r>
      <w:r w:rsidRPr="00421111">
        <w:t xml:space="preserve"> la actualización permanente, hacer un marcado esfuerzo en producir material relevante, promover un amplio acceso y asegurar la calidad permaneciendo abiertos y sensibles a las críticas.  Con Centros diseminados por el mundo ha dado a luz a </w:t>
      </w:r>
      <w:proofErr w:type="spellStart"/>
      <w:r w:rsidRPr="00421111">
        <w:t>The</w:t>
      </w:r>
      <w:proofErr w:type="spellEnd"/>
      <w:r w:rsidRPr="00421111">
        <w:t xml:space="preserve"> Cochrane Library5, obra de edición periódica en soporte electrónico que contiene el trabajo de grupos de revisores, así como a una intensa difusión vía Internet.  Estos esfuerzos han llevado a una expansión en el desarrollo de meta-análisis en los últimos 10 </w:t>
      </w:r>
      <w:proofErr w:type="spellStart"/>
      <w:r w:rsidRPr="00421111">
        <w:t>añosueve</w:t>
      </w:r>
      <w:proofErr w:type="spellEnd"/>
      <w:r w:rsidRPr="00421111">
        <w:t xml:space="preserve"> y facilita el acceso a las revisiones sistemáticas sobre intervenciones en salud.</w:t>
      </w:r>
      <w:r>
        <w:t xml:space="preserve"> </w:t>
      </w:r>
    </w:p>
    <w:p w:rsidR="00421111" w:rsidRPr="0085134F" w:rsidRDefault="00BE0E66" w:rsidP="00421111">
      <w:pPr>
        <w:rPr>
          <w:b/>
          <w:sz w:val="32"/>
        </w:rPr>
      </w:pPr>
      <w:r w:rsidRPr="0085134F">
        <w:rPr>
          <w:b/>
          <w:sz w:val="32"/>
        </w:rPr>
        <w:t>Tipos de estudios en MBE</w:t>
      </w:r>
    </w:p>
    <w:p w:rsidR="00BE0E66" w:rsidRPr="00244046" w:rsidRDefault="00244046" w:rsidP="00421111">
      <w:pPr>
        <w:rPr>
          <w:b/>
        </w:rPr>
      </w:pPr>
      <w:r w:rsidRPr="00244046">
        <w:rPr>
          <w:b/>
        </w:rPr>
        <w:t>Primarios</w:t>
      </w:r>
    </w:p>
    <w:p w:rsidR="00244046" w:rsidRDefault="00244046" w:rsidP="00421111">
      <w:r>
        <w:t>Observacionales</w:t>
      </w:r>
    </w:p>
    <w:p w:rsidR="00244046" w:rsidRDefault="00244046" w:rsidP="00244046">
      <w:pPr>
        <w:pStyle w:val="Prrafodelista"/>
        <w:numPr>
          <w:ilvl w:val="0"/>
          <w:numId w:val="1"/>
        </w:numPr>
      </w:pPr>
      <w:r>
        <w:t>Serie de casos</w:t>
      </w:r>
    </w:p>
    <w:p w:rsidR="00244046" w:rsidRDefault="00244046" w:rsidP="00244046">
      <w:pPr>
        <w:pStyle w:val="Prrafodelista"/>
        <w:numPr>
          <w:ilvl w:val="0"/>
          <w:numId w:val="1"/>
        </w:numPr>
      </w:pPr>
      <w:r>
        <w:t>Casos y controles</w:t>
      </w:r>
    </w:p>
    <w:p w:rsidR="00244046" w:rsidRDefault="00244046" w:rsidP="00244046">
      <w:pPr>
        <w:pStyle w:val="Prrafodelista"/>
        <w:numPr>
          <w:ilvl w:val="0"/>
          <w:numId w:val="1"/>
        </w:numPr>
      </w:pPr>
      <w:r>
        <w:t>Coherte</w:t>
      </w:r>
    </w:p>
    <w:p w:rsidR="00244046" w:rsidRDefault="00244046" w:rsidP="00421111">
      <w:r>
        <w:t>Experimentales</w:t>
      </w:r>
    </w:p>
    <w:p w:rsidR="00244046" w:rsidRDefault="00244046" w:rsidP="00244046">
      <w:pPr>
        <w:pStyle w:val="Prrafodelista"/>
        <w:numPr>
          <w:ilvl w:val="0"/>
          <w:numId w:val="2"/>
        </w:numPr>
      </w:pPr>
      <w:r>
        <w:t>Ensayos clínicos aleatorizado</w:t>
      </w:r>
    </w:p>
    <w:p w:rsidR="00BE0E66" w:rsidRDefault="00244046" w:rsidP="00244046">
      <w:pPr>
        <w:pStyle w:val="Prrafodelista"/>
        <w:numPr>
          <w:ilvl w:val="0"/>
          <w:numId w:val="2"/>
        </w:numPr>
      </w:pPr>
      <w:r>
        <w:lastRenderedPageBreak/>
        <w:t>Ensayos controlados</w:t>
      </w:r>
      <w:r w:rsidR="00BE0E66">
        <w:t xml:space="preserve"> </w:t>
      </w:r>
    </w:p>
    <w:p w:rsidR="00244046" w:rsidRDefault="00244046" w:rsidP="00244046">
      <w:pPr>
        <w:ind w:left="360"/>
      </w:pPr>
      <w:r>
        <w:t>Secundarios (revisiones de estudios primarios)</w:t>
      </w:r>
    </w:p>
    <w:p w:rsidR="00244046" w:rsidRDefault="00570948" w:rsidP="00244046">
      <w:pPr>
        <w:pStyle w:val="Prrafodelista"/>
        <w:numPr>
          <w:ilvl w:val="0"/>
          <w:numId w:val="3"/>
        </w:numPr>
      </w:pPr>
      <w:r>
        <w:t>Metanálisis</w:t>
      </w:r>
    </w:p>
    <w:p w:rsidR="00244046" w:rsidRDefault="00244046" w:rsidP="00244046">
      <w:pPr>
        <w:pStyle w:val="Prrafodelista"/>
        <w:numPr>
          <w:ilvl w:val="0"/>
          <w:numId w:val="3"/>
        </w:numPr>
      </w:pPr>
      <w:r>
        <w:t>Revisiones sistémicas</w:t>
      </w:r>
    </w:p>
    <w:p w:rsidR="00244046" w:rsidRDefault="00244046" w:rsidP="00244046">
      <w:pPr>
        <w:pStyle w:val="Prrafodelista"/>
        <w:numPr>
          <w:ilvl w:val="0"/>
          <w:numId w:val="3"/>
        </w:numPr>
      </w:pPr>
      <w:r>
        <w:t xml:space="preserve">Guías de práctica clínica </w:t>
      </w:r>
    </w:p>
    <w:p w:rsidR="00244046" w:rsidRDefault="00244046" w:rsidP="00244046">
      <w:pPr>
        <w:pStyle w:val="Prrafodelista"/>
        <w:numPr>
          <w:ilvl w:val="0"/>
          <w:numId w:val="3"/>
        </w:numPr>
      </w:pPr>
      <w:r>
        <w:t>Revisiones</w:t>
      </w:r>
    </w:p>
    <w:p w:rsidR="00244046" w:rsidRDefault="00244046" w:rsidP="00244046">
      <w:pPr>
        <w:pStyle w:val="Prrafodelista"/>
        <w:numPr>
          <w:ilvl w:val="0"/>
          <w:numId w:val="3"/>
        </w:numPr>
      </w:pPr>
      <w:r>
        <w:t>Editoriales</w:t>
      </w:r>
    </w:p>
    <w:p w:rsidR="00244046" w:rsidRDefault="00244046" w:rsidP="00244046">
      <w:pPr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0E66" w:rsidTr="00BE0E66">
        <w:tc>
          <w:tcPr>
            <w:tcW w:w="4247" w:type="dxa"/>
          </w:tcPr>
          <w:p w:rsidR="00BE0E66" w:rsidRDefault="00BE0E66" w:rsidP="00421111">
            <w:r>
              <w:t>Tipo de sesgo</w:t>
            </w:r>
          </w:p>
        </w:tc>
        <w:tc>
          <w:tcPr>
            <w:tcW w:w="4247" w:type="dxa"/>
          </w:tcPr>
          <w:p w:rsidR="00BE0E66" w:rsidRDefault="00BE0E66" w:rsidP="00421111">
            <w:r>
              <w:t xml:space="preserve">Principales </w:t>
            </w:r>
            <w:r w:rsidR="00570948">
              <w:t>Características</w:t>
            </w:r>
          </w:p>
        </w:tc>
      </w:tr>
      <w:tr w:rsidR="00BE0E66" w:rsidTr="00BE0E66">
        <w:tc>
          <w:tcPr>
            <w:tcW w:w="4247" w:type="dxa"/>
          </w:tcPr>
          <w:p w:rsidR="00BE0E66" w:rsidRDefault="0079612E" w:rsidP="00421111">
            <w:r>
              <w:t xml:space="preserve">Selección </w:t>
            </w:r>
          </w:p>
        </w:tc>
        <w:tc>
          <w:tcPr>
            <w:tcW w:w="4247" w:type="dxa"/>
          </w:tcPr>
          <w:p w:rsidR="00BE0E66" w:rsidRDefault="0079612E" w:rsidP="0079612E">
            <w:pPr>
              <w:pStyle w:val="Prrafodelista"/>
              <w:numPr>
                <w:ilvl w:val="0"/>
                <w:numId w:val="4"/>
              </w:numPr>
            </w:pPr>
            <w:r>
              <w:t>Selección no aleatoria</w:t>
            </w:r>
          </w:p>
          <w:p w:rsidR="0079612E" w:rsidRDefault="0079612E" w:rsidP="0079612E">
            <w:pPr>
              <w:pStyle w:val="Prrafodelista"/>
              <w:numPr>
                <w:ilvl w:val="0"/>
                <w:numId w:val="4"/>
              </w:numPr>
            </w:pPr>
            <w:r>
              <w:t>Pacientes no tiene las mismas posibilidades de ser incluidos</w:t>
            </w:r>
          </w:p>
          <w:p w:rsidR="0079612E" w:rsidRDefault="0079612E" w:rsidP="0079612E">
            <w:pPr>
              <w:pStyle w:val="Prrafodelista"/>
              <w:numPr>
                <w:ilvl w:val="0"/>
                <w:numId w:val="4"/>
              </w:numPr>
            </w:pPr>
            <w:r>
              <w:t>Muestra sesgada</w:t>
            </w:r>
          </w:p>
        </w:tc>
      </w:tr>
      <w:tr w:rsidR="00BE0E66" w:rsidTr="00BE0E66">
        <w:tc>
          <w:tcPr>
            <w:tcW w:w="4247" w:type="dxa"/>
          </w:tcPr>
          <w:p w:rsidR="00BE0E66" w:rsidRDefault="00570948" w:rsidP="00421111">
            <w:r>
              <w:t>Medición</w:t>
            </w:r>
          </w:p>
        </w:tc>
        <w:tc>
          <w:tcPr>
            <w:tcW w:w="4247" w:type="dxa"/>
          </w:tcPr>
          <w:p w:rsidR="00BE0E66" w:rsidRDefault="0079612E" w:rsidP="0079612E">
            <w:pPr>
              <w:pStyle w:val="Prrafodelista"/>
              <w:numPr>
                <w:ilvl w:val="0"/>
                <w:numId w:val="5"/>
              </w:numPr>
            </w:pPr>
            <w:r>
              <w:t>La calidad de la medición varia en forma no aleatoria</w:t>
            </w:r>
          </w:p>
          <w:p w:rsidR="0079612E" w:rsidRDefault="0079612E" w:rsidP="0079612E">
            <w:pPr>
              <w:pStyle w:val="Prrafodelista"/>
              <w:numPr>
                <w:ilvl w:val="0"/>
                <w:numId w:val="5"/>
              </w:numPr>
            </w:pPr>
            <w:r>
              <w:t xml:space="preserve">Pacientes con nuevos tratamientos </w:t>
            </w:r>
            <w:r w:rsidR="00570948">
              <w:t xml:space="preserve">se controlan </w:t>
            </w:r>
            <w:r w:rsidR="003D0005">
              <w:t>más</w:t>
            </w:r>
            <w:r w:rsidR="00570948">
              <w:t xml:space="preserve"> de cerca</w:t>
            </w:r>
          </w:p>
          <w:p w:rsidR="00570948" w:rsidRDefault="00570948" w:rsidP="0079612E">
            <w:pPr>
              <w:pStyle w:val="Prrafodelista"/>
              <w:numPr>
                <w:ilvl w:val="0"/>
                <w:numId w:val="5"/>
              </w:numPr>
            </w:pPr>
            <w:r>
              <w:t xml:space="preserve">Pacientes con enfermedad recuerdan mejor exposiciones </w:t>
            </w:r>
          </w:p>
          <w:p w:rsidR="00570948" w:rsidRDefault="00570948" w:rsidP="00570948">
            <w:pPr>
              <w:pStyle w:val="Prrafodelista"/>
              <w:numPr>
                <w:ilvl w:val="0"/>
                <w:numId w:val="5"/>
              </w:numPr>
            </w:pPr>
            <w:r>
              <w:t xml:space="preserve">Se sobreestiman beneficios y se subestiman efectos adversos </w:t>
            </w:r>
          </w:p>
        </w:tc>
      </w:tr>
      <w:tr w:rsidR="00BE0E66" w:rsidTr="00BE0E66">
        <w:tc>
          <w:tcPr>
            <w:tcW w:w="4247" w:type="dxa"/>
          </w:tcPr>
          <w:p w:rsidR="00BE0E66" w:rsidRDefault="0079612E" w:rsidP="00421111">
            <w:r>
              <w:t>Confundentes</w:t>
            </w:r>
          </w:p>
        </w:tc>
        <w:tc>
          <w:tcPr>
            <w:tcW w:w="4247" w:type="dxa"/>
          </w:tcPr>
          <w:p w:rsidR="00BE0E66" w:rsidRDefault="00570948" w:rsidP="00570948">
            <w:pPr>
              <w:pStyle w:val="Prrafodelista"/>
              <w:numPr>
                <w:ilvl w:val="0"/>
                <w:numId w:val="6"/>
              </w:numPr>
            </w:pPr>
            <w:r w:rsidRPr="00570948">
              <w:t>Este tipo de sesgo ocurre cuando la medición del efecto de una exposición sobre un riesgo se modifica, debido a la asociación de dicha exposición con otro factor que influye sobre la evolución del resultado en estudio.</w:t>
            </w:r>
          </w:p>
        </w:tc>
      </w:tr>
      <w:tr w:rsidR="00BE0E66" w:rsidTr="00BE0E66">
        <w:tc>
          <w:tcPr>
            <w:tcW w:w="4247" w:type="dxa"/>
          </w:tcPr>
          <w:p w:rsidR="00BE0E66" w:rsidRDefault="0079612E" w:rsidP="00421111">
            <w:r>
              <w:t>Casualidad inversa</w:t>
            </w:r>
          </w:p>
        </w:tc>
        <w:tc>
          <w:tcPr>
            <w:tcW w:w="4247" w:type="dxa"/>
          </w:tcPr>
          <w:p w:rsidR="00BE0E66" w:rsidRDefault="00570948" w:rsidP="00570948">
            <w:pPr>
              <w:pStyle w:val="Prrafodelista"/>
              <w:numPr>
                <w:ilvl w:val="0"/>
                <w:numId w:val="6"/>
              </w:numPr>
            </w:pPr>
            <w:r>
              <w:t>Variable de interés causa o desenmascara la enfermedad</w:t>
            </w:r>
          </w:p>
        </w:tc>
      </w:tr>
      <w:tr w:rsidR="00BE0E66" w:rsidTr="00BE0E66">
        <w:tc>
          <w:tcPr>
            <w:tcW w:w="4247" w:type="dxa"/>
          </w:tcPr>
          <w:p w:rsidR="00BE0E66" w:rsidRDefault="0079612E" w:rsidP="00421111">
            <w:r>
              <w:t xml:space="preserve">Impresión </w:t>
            </w:r>
          </w:p>
        </w:tc>
        <w:tc>
          <w:tcPr>
            <w:tcW w:w="4247" w:type="dxa"/>
          </w:tcPr>
          <w:p w:rsidR="00BE0E66" w:rsidRDefault="00570948" w:rsidP="00570948">
            <w:pPr>
              <w:pStyle w:val="Prrafodelista"/>
              <w:numPr>
                <w:ilvl w:val="0"/>
                <w:numId w:val="6"/>
              </w:numPr>
            </w:pPr>
            <w:r>
              <w:t>Intervalo de confianza 95%</w:t>
            </w:r>
          </w:p>
        </w:tc>
      </w:tr>
      <w:tr w:rsidR="00BE0E66" w:rsidTr="00BE0E66">
        <w:tc>
          <w:tcPr>
            <w:tcW w:w="4247" w:type="dxa"/>
          </w:tcPr>
          <w:p w:rsidR="00BE0E66" w:rsidRDefault="0079612E" w:rsidP="00421111">
            <w:r>
              <w:t>Inconsistencia</w:t>
            </w:r>
          </w:p>
        </w:tc>
        <w:tc>
          <w:tcPr>
            <w:tcW w:w="4247" w:type="dxa"/>
          </w:tcPr>
          <w:p w:rsidR="00BE0E66" w:rsidRDefault="00570948" w:rsidP="00570948">
            <w:pPr>
              <w:pStyle w:val="Prrafodelista"/>
              <w:numPr>
                <w:ilvl w:val="0"/>
                <w:numId w:val="6"/>
              </w:numPr>
            </w:pPr>
            <w:r>
              <w:t xml:space="preserve">Heterogeneidad </w:t>
            </w:r>
          </w:p>
        </w:tc>
      </w:tr>
    </w:tbl>
    <w:p w:rsidR="00BE0E66" w:rsidRDefault="00BE0E66" w:rsidP="00421111"/>
    <w:sectPr w:rsidR="00BE0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4D"/>
    <w:multiLevelType w:val="hybridMultilevel"/>
    <w:tmpl w:val="3E20D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0F6"/>
    <w:multiLevelType w:val="hybridMultilevel"/>
    <w:tmpl w:val="68144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39F5"/>
    <w:multiLevelType w:val="hybridMultilevel"/>
    <w:tmpl w:val="4308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EA6"/>
    <w:multiLevelType w:val="hybridMultilevel"/>
    <w:tmpl w:val="E8CEE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53F38"/>
    <w:multiLevelType w:val="hybridMultilevel"/>
    <w:tmpl w:val="FC281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A61C8"/>
    <w:multiLevelType w:val="hybridMultilevel"/>
    <w:tmpl w:val="32E8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B"/>
    <w:rsid w:val="00244046"/>
    <w:rsid w:val="003D0005"/>
    <w:rsid w:val="00421111"/>
    <w:rsid w:val="00570948"/>
    <w:rsid w:val="0079612E"/>
    <w:rsid w:val="0085134F"/>
    <w:rsid w:val="00A6254E"/>
    <w:rsid w:val="00BB014B"/>
    <w:rsid w:val="00B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86F"/>
  <w15:chartTrackingRefBased/>
  <w15:docId w15:val="{7D390FCC-3128-4138-A19A-D01E8559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jv5IzzndfRAhVHz2MKHZ5sB3kQjRwIBw&amp;url=http://www.tuugo.com.mx/Companies/universidad-lamar2/0200005202036&amp;psig=AFQjCNGYMyrYa7VpRdlmiSROD6VGm-sQzw&amp;ust=1485225335484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daniel rodriguez</cp:lastModifiedBy>
  <cp:revision>6</cp:revision>
  <dcterms:created xsi:type="dcterms:W3CDTF">2017-01-22T19:30:00Z</dcterms:created>
  <dcterms:modified xsi:type="dcterms:W3CDTF">2017-01-23T02:46:00Z</dcterms:modified>
</cp:coreProperties>
</file>