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2"/>
        <w:tblpPr w:leftFromText="141" w:rightFromText="141" w:horzAnchor="margin" w:tblpXSpec="center" w:tblpY="-968"/>
        <w:tblW w:w="15150" w:type="dxa"/>
        <w:tblLook w:val="04A0" w:firstRow="1" w:lastRow="0" w:firstColumn="1" w:lastColumn="0" w:noHBand="0" w:noVBand="1"/>
      </w:tblPr>
      <w:tblGrid>
        <w:gridCol w:w="1932"/>
        <w:gridCol w:w="2656"/>
        <w:gridCol w:w="2423"/>
        <w:gridCol w:w="2504"/>
        <w:gridCol w:w="2872"/>
        <w:gridCol w:w="2763"/>
      </w:tblGrid>
      <w:tr w:rsidR="00526C98" w:rsidRPr="00526C98" w:rsidTr="0052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2" w:type="dxa"/>
          </w:tcPr>
          <w:p w:rsidR="00ED1A51" w:rsidRPr="00526C98" w:rsidRDefault="00ED1A51" w:rsidP="00526C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 w:rsidRPr="00526C98">
              <w:rPr>
                <w:rFonts w:ascii="Verdana" w:hAnsi="Verdana" w:cs="Arial"/>
                <w:sz w:val="20"/>
                <w:szCs w:val="20"/>
              </w:rPr>
              <w:t>Estudio</w:t>
            </w:r>
          </w:p>
        </w:tc>
        <w:tc>
          <w:tcPr>
            <w:tcW w:w="2656" w:type="dxa"/>
          </w:tcPr>
          <w:p w:rsidR="00ED1A51" w:rsidRPr="00526C98" w:rsidRDefault="00ED1A51" w:rsidP="00526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Tipo de estudio</w:t>
            </w:r>
          </w:p>
        </w:tc>
        <w:tc>
          <w:tcPr>
            <w:tcW w:w="2423" w:type="dxa"/>
          </w:tcPr>
          <w:p w:rsidR="00ED1A51" w:rsidRPr="00526C98" w:rsidRDefault="00ED1A51" w:rsidP="00526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Criterios de validez</w:t>
            </w:r>
          </w:p>
        </w:tc>
        <w:tc>
          <w:tcPr>
            <w:tcW w:w="2504" w:type="dxa"/>
          </w:tcPr>
          <w:p w:rsidR="00ED1A51" w:rsidRPr="00526C98" w:rsidRDefault="00ED1A51" w:rsidP="00526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Fórmulas</w:t>
            </w:r>
          </w:p>
        </w:tc>
        <w:tc>
          <w:tcPr>
            <w:tcW w:w="2872" w:type="dxa"/>
          </w:tcPr>
          <w:p w:rsidR="00ED1A51" w:rsidRPr="00526C98" w:rsidRDefault="00ED1A51" w:rsidP="00526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Sesgos más 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comúnes</w:t>
            </w:r>
            <w:proofErr w:type="spellEnd"/>
          </w:p>
        </w:tc>
        <w:tc>
          <w:tcPr>
            <w:tcW w:w="2763" w:type="dxa"/>
          </w:tcPr>
          <w:p w:rsidR="00ED1A51" w:rsidRPr="00526C98" w:rsidRDefault="00ED1A51" w:rsidP="00526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Nivel de Evidencia</w:t>
            </w:r>
          </w:p>
        </w:tc>
      </w:tr>
      <w:tr w:rsidR="00526C98" w:rsidRPr="00526C98" w:rsidTr="0052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ED1A51" w:rsidRPr="00526C98" w:rsidRDefault="00ED1A51" w:rsidP="00526C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P</w:t>
            </w:r>
            <w:r w:rsidR="00526C98">
              <w:rPr>
                <w:rFonts w:ascii="Verdana" w:hAnsi="Verdana" w:cs="Arial"/>
                <w:sz w:val="20"/>
                <w:szCs w:val="20"/>
              </w:rPr>
              <w:t>ba</w:t>
            </w:r>
            <w:r w:rsidRPr="00526C98">
              <w:rPr>
                <w:rFonts w:ascii="Verdana" w:hAnsi="Verdana" w:cs="Arial"/>
                <w:sz w:val="20"/>
                <w:szCs w:val="20"/>
              </w:rPr>
              <w:t>s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. Diagnósticas</w:t>
            </w:r>
          </w:p>
        </w:tc>
        <w:tc>
          <w:tcPr>
            <w:tcW w:w="2656" w:type="dxa"/>
          </w:tcPr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Analítico transversal comparativo</w:t>
            </w:r>
          </w:p>
        </w:tc>
        <w:tc>
          <w:tcPr>
            <w:tcW w:w="2423" w:type="dxa"/>
          </w:tcPr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Sensibilidad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Especificidad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Razón de probabilidad +/-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Valor predictivo +/-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Tabla 2x2</w:t>
            </w:r>
          </w:p>
        </w:tc>
        <w:tc>
          <w:tcPr>
            <w:tcW w:w="2504" w:type="dxa"/>
          </w:tcPr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S: a/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a+b</w:t>
            </w:r>
            <w:proofErr w:type="spellEnd"/>
          </w:p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E: d/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b+d</w:t>
            </w:r>
            <w:proofErr w:type="spellEnd"/>
          </w:p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VPP: a/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a+b</w:t>
            </w:r>
            <w:proofErr w:type="spellEnd"/>
          </w:p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VPN: d/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c+d</w:t>
            </w:r>
            <w:proofErr w:type="spellEnd"/>
          </w:p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RPP: S/I-E</w:t>
            </w:r>
          </w:p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6C98">
              <w:rPr>
                <w:rFonts w:ascii="Verdana" w:hAnsi="Verdana" w:cs="Arial"/>
                <w:sz w:val="20"/>
                <w:szCs w:val="20"/>
                <w:lang w:val="en-US"/>
              </w:rPr>
              <w:t>RPN: 1-S/E</w:t>
            </w:r>
          </w:p>
        </w:tc>
        <w:tc>
          <w:tcPr>
            <w:tcW w:w="2872" w:type="dxa"/>
          </w:tcPr>
          <w:p w:rsidR="00ED1A51" w:rsidRPr="00526C98" w:rsidRDefault="00ED1A51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 de </w:t>
            </w:r>
            <w:r w:rsidR="00154B65" w:rsidRPr="00526C98">
              <w:rPr>
                <w:rFonts w:ascii="Verdana" w:hAnsi="Verdana" w:cs="Arial"/>
                <w:sz w:val="20"/>
                <w:szCs w:val="20"/>
              </w:rPr>
              <w:t>interpretación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de prueba</w:t>
            </w:r>
            <w:r w:rsidR="00154B65" w:rsidRPr="00526C98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154B65" w:rsidRPr="00526C98" w:rsidRDefault="00154B65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Sesgo de información diagnostica (S y E)</w:t>
            </w:r>
          </w:p>
          <w:p w:rsidR="00154B65" w:rsidRPr="00526C98" w:rsidRDefault="00154B65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Variabilidad de acuerdo al observador o resultados no interpretables. </w:t>
            </w:r>
          </w:p>
        </w:tc>
        <w:tc>
          <w:tcPr>
            <w:tcW w:w="2763" w:type="dxa"/>
          </w:tcPr>
          <w:p w:rsidR="00ED1A51" w:rsidRPr="00526C98" w:rsidRDefault="00154B65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I: previamente desarrollados en pacientes consecutivos </w:t>
            </w:r>
          </w:p>
          <w:p w:rsidR="00154B65" w:rsidRPr="00526C98" w:rsidRDefault="00154B65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II: desarrollo de criterios </w:t>
            </w:r>
            <w:r w:rsidR="00526C98" w:rsidRPr="00526C98">
              <w:rPr>
                <w:rFonts w:ascii="Verdana" w:hAnsi="Verdana" w:cs="Arial"/>
                <w:sz w:val="20"/>
                <w:szCs w:val="20"/>
              </w:rPr>
              <w:t>diagnósticos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en pacientes consecutivos</w:t>
            </w:r>
          </w:p>
          <w:p w:rsidR="00154B65" w:rsidRPr="00526C98" w:rsidRDefault="00154B65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III: aplicación en pacientes no consecutivos</w:t>
            </w:r>
          </w:p>
          <w:p w:rsidR="00154B65" w:rsidRPr="00526C98" w:rsidRDefault="00154B65" w:rsidP="0052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IV: estándar de referencia deficiente</w:t>
            </w:r>
          </w:p>
        </w:tc>
      </w:tr>
      <w:tr w:rsidR="00526C98" w:rsidRPr="00526C98" w:rsidTr="00526C9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ED1A51" w:rsidRPr="00526C98" w:rsidRDefault="00ED1A51" w:rsidP="00526C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Cohortes</w:t>
            </w:r>
          </w:p>
        </w:tc>
        <w:tc>
          <w:tcPr>
            <w:tcW w:w="2656" w:type="dxa"/>
          </w:tcPr>
          <w:p w:rsidR="00ED1A51" w:rsidRPr="00526C98" w:rsidRDefault="00ED1A51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Analítico observacional prospectivo</w:t>
            </w:r>
          </w:p>
        </w:tc>
        <w:tc>
          <w:tcPr>
            <w:tcW w:w="2423" w:type="dxa"/>
          </w:tcPr>
          <w:p w:rsidR="00ED1A51" w:rsidRPr="00526C98" w:rsidRDefault="00ED1A51" w:rsidP="00526C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Riesgo Relativo</w:t>
            </w:r>
          </w:p>
          <w:p w:rsidR="00ED1A51" w:rsidRPr="00526C98" w:rsidRDefault="00ED1A51" w:rsidP="00526C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Tasa de Incidencia</w:t>
            </w:r>
          </w:p>
          <w:p w:rsidR="00ED1A51" w:rsidRPr="00526C98" w:rsidRDefault="00ED1A51" w:rsidP="00526C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Mediante la </w:t>
            </w:r>
            <w:r w:rsidR="00154B65" w:rsidRPr="00526C98">
              <w:rPr>
                <w:rFonts w:ascii="Verdana" w:hAnsi="Verdana" w:cs="Arial"/>
                <w:sz w:val="20"/>
                <w:szCs w:val="20"/>
              </w:rPr>
              <w:t>determinación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de criterios de </w:t>
            </w:r>
            <w:r w:rsidR="00526C98" w:rsidRPr="00526C98">
              <w:rPr>
                <w:rFonts w:ascii="Verdana" w:hAnsi="Verdana" w:cs="Arial"/>
                <w:sz w:val="20"/>
                <w:szCs w:val="20"/>
              </w:rPr>
              <w:t>inclusión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y exclusión</w:t>
            </w:r>
          </w:p>
        </w:tc>
        <w:tc>
          <w:tcPr>
            <w:tcW w:w="2504" w:type="dxa"/>
          </w:tcPr>
          <w:p w:rsidR="00ED1A51" w:rsidRPr="00526C98" w:rsidRDefault="00154B65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RR= a/(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a+b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)/c/(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c+d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154B65" w:rsidRPr="00526C98" w:rsidRDefault="00154B65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Tasa de Incidencia: a/(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a+b+c+d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)x100</w:t>
            </w:r>
          </w:p>
        </w:tc>
        <w:tc>
          <w:tcPr>
            <w:tcW w:w="2872" w:type="dxa"/>
          </w:tcPr>
          <w:p w:rsidR="00ED1A51" w:rsidRPr="00526C98" w:rsidRDefault="007C3603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 de selección </w:t>
            </w:r>
          </w:p>
          <w:p w:rsidR="007C3603" w:rsidRPr="00526C98" w:rsidRDefault="007C3603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Características en comparativa de grupo expuesto y no expuesto</w:t>
            </w:r>
          </w:p>
          <w:p w:rsidR="007C3603" w:rsidRPr="00526C98" w:rsidRDefault="007C3603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 de información por la </w:t>
            </w:r>
            <w:r w:rsidR="00CC782E" w:rsidRPr="00526C98">
              <w:rPr>
                <w:rFonts w:ascii="Verdana" w:hAnsi="Verdana" w:cs="Arial"/>
                <w:sz w:val="20"/>
                <w:szCs w:val="20"/>
              </w:rPr>
              <w:t>pérdida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del seguimiento total de la muestra</w:t>
            </w:r>
          </w:p>
          <w:p w:rsidR="007C3603" w:rsidRPr="00526C98" w:rsidRDefault="007C3603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 de </w:t>
            </w:r>
            <w:r w:rsidR="00CC782E" w:rsidRPr="00526C98">
              <w:rPr>
                <w:rFonts w:ascii="Verdana" w:hAnsi="Verdana" w:cs="Arial"/>
                <w:sz w:val="20"/>
                <w:szCs w:val="20"/>
              </w:rPr>
              <w:t>clasificación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de acuerdo a características y factor de exposición a estudiar</w:t>
            </w:r>
          </w:p>
        </w:tc>
        <w:tc>
          <w:tcPr>
            <w:tcW w:w="2763" w:type="dxa"/>
          </w:tcPr>
          <w:p w:rsidR="00ED1A51" w:rsidRPr="00526C98" w:rsidRDefault="00CC782E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IIa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 xml:space="preserve">: revisión </w:t>
            </w:r>
            <w:r w:rsidR="00526C98" w:rsidRPr="00526C98">
              <w:rPr>
                <w:rFonts w:ascii="Verdana" w:hAnsi="Verdana" w:cs="Arial"/>
                <w:sz w:val="20"/>
                <w:szCs w:val="20"/>
              </w:rPr>
              <w:t>sistemática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de cohortes con homogeneidad</w:t>
            </w:r>
          </w:p>
          <w:p w:rsidR="00CC782E" w:rsidRPr="00526C98" w:rsidRDefault="00CC782E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IIb:revisión </w:t>
            </w:r>
            <w:r w:rsidR="00526C98" w:rsidRPr="00526C98">
              <w:rPr>
                <w:rFonts w:ascii="Verdana" w:hAnsi="Verdana" w:cs="Arial"/>
                <w:sz w:val="20"/>
                <w:szCs w:val="20"/>
              </w:rPr>
              <w:t>sistemática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con seguimiento inferior al 80% de la muestra</w:t>
            </w:r>
          </w:p>
          <w:p w:rsidR="00CC782E" w:rsidRPr="00526C98" w:rsidRDefault="00CC782E" w:rsidP="00526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IV: E. de cohortes </w:t>
            </w:r>
            <w:r w:rsidR="00526C98" w:rsidRPr="00526C98">
              <w:rPr>
                <w:rFonts w:ascii="Verdana" w:hAnsi="Verdana" w:cs="Arial"/>
                <w:sz w:val="20"/>
                <w:szCs w:val="20"/>
              </w:rPr>
              <w:t>y CC con deficiencia en la definición de las características comparativas</w:t>
            </w:r>
            <w:r w:rsidRPr="00526C9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26C98" w:rsidRPr="00526C98" w:rsidTr="0052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ED1A51" w:rsidRPr="00526C98" w:rsidRDefault="00ED1A51" w:rsidP="00526C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Casos y Controles</w:t>
            </w:r>
          </w:p>
        </w:tc>
        <w:tc>
          <w:tcPr>
            <w:tcW w:w="2656" w:type="dxa"/>
          </w:tcPr>
          <w:p w:rsidR="00ED1A51" w:rsidRPr="00526C98" w:rsidRDefault="00ED1A51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Analítico observacional retrospectivo</w:t>
            </w:r>
          </w:p>
        </w:tc>
        <w:tc>
          <w:tcPr>
            <w:tcW w:w="2423" w:type="dxa"/>
          </w:tcPr>
          <w:p w:rsidR="00ED1A51" w:rsidRPr="00526C98" w:rsidRDefault="00154B65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Razón</w:t>
            </w:r>
            <w:r w:rsidR="00ED1A51" w:rsidRPr="00526C98">
              <w:rPr>
                <w:rFonts w:ascii="Verdana" w:hAnsi="Verdana" w:cs="Arial"/>
                <w:sz w:val="20"/>
                <w:szCs w:val="20"/>
              </w:rPr>
              <w:t xml:space="preserve"> de Momios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Riesgo Atribuible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% de Riesgo A.</w:t>
            </w:r>
          </w:p>
          <w:p w:rsidR="00ED1A51" w:rsidRPr="00526C98" w:rsidRDefault="00ED1A51" w:rsidP="00526C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Tasa de Incidencia de Total</w:t>
            </w:r>
          </w:p>
        </w:tc>
        <w:tc>
          <w:tcPr>
            <w:tcW w:w="2504" w:type="dxa"/>
          </w:tcPr>
          <w:p w:rsidR="00ED1A51" w:rsidRPr="00526C98" w:rsidRDefault="00154B65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RM:(a/c)/ b/d</w:t>
            </w:r>
          </w:p>
          <w:p w:rsidR="00154B65" w:rsidRPr="00526C98" w:rsidRDefault="00154B65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RA: 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CiE-CiO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CiE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 xml:space="preserve">= </w:t>
            </w:r>
          </w:p>
          <w:p w:rsidR="00154B65" w:rsidRPr="00526C98" w:rsidRDefault="00154B65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a</w:t>
            </w:r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/(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a+b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)-c/(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c+d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)</w:t>
            </w:r>
          </w:p>
          <w:p w:rsidR="007C3603" w:rsidRPr="00526C98" w:rsidRDefault="007C3603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a/(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a+b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  <w:u w:val="single"/>
              </w:rPr>
              <w:t>)</w:t>
            </w:r>
          </w:p>
          <w:p w:rsidR="007C3603" w:rsidRPr="00526C98" w:rsidRDefault="007C3603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7C3603" w:rsidRPr="00526C98" w:rsidRDefault="007C3603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%RA: 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CiE-CiO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CiE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>)x100</w:t>
            </w:r>
          </w:p>
          <w:p w:rsidR="007C3603" w:rsidRPr="00526C98" w:rsidRDefault="007C3603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TI: ((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a+c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 xml:space="preserve">)/total)x100 </w:t>
            </w:r>
          </w:p>
        </w:tc>
        <w:tc>
          <w:tcPr>
            <w:tcW w:w="2872" w:type="dxa"/>
          </w:tcPr>
          <w:p w:rsidR="00ED1A51" w:rsidRPr="00526C98" w:rsidRDefault="007C3603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 de selección </w:t>
            </w:r>
          </w:p>
          <w:p w:rsidR="00CC782E" w:rsidRPr="00526C98" w:rsidRDefault="00CC782E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>Sesgo de detección según las probabilidades de diagnosticar</w:t>
            </w:r>
          </w:p>
          <w:p w:rsidR="00CC782E" w:rsidRPr="00526C98" w:rsidRDefault="00CC782E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Sesgo de investigador/subjetivo (validez por pruebas </w:t>
            </w:r>
            <w:r w:rsidR="00526C98" w:rsidRPr="00526C98">
              <w:rPr>
                <w:rFonts w:ascii="Verdana" w:hAnsi="Verdana" w:cs="Arial"/>
                <w:sz w:val="20"/>
                <w:szCs w:val="20"/>
              </w:rPr>
              <w:t>diagnósticas</w:t>
            </w:r>
            <w:r w:rsidRPr="00526C98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763" w:type="dxa"/>
          </w:tcPr>
          <w:p w:rsidR="00ED1A51" w:rsidRPr="00526C98" w:rsidRDefault="00526C98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IIa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 xml:space="preserve">: revisión sistemática y con homogeneidad en características de los grupos en estudio de 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CyC</w:t>
            </w:r>
            <w:proofErr w:type="spellEnd"/>
          </w:p>
          <w:p w:rsidR="00526C98" w:rsidRPr="00526C98" w:rsidRDefault="00526C98" w:rsidP="00526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26C98">
              <w:rPr>
                <w:rFonts w:ascii="Verdana" w:hAnsi="Verdana" w:cs="Arial"/>
                <w:sz w:val="20"/>
                <w:szCs w:val="20"/>
              </w:rPr>
              <w:t xml:space="preserve">IV: estudios de cohortes y </w:t>
            </w:r>
            <w:proofErr w:type="spellStart"/>
            <w:r w:rsidRPr="00526C98">
              <w:rPr>
                <w:rFonts w:ascii="Verdana" w:hAnsi="Verdana" w:cs="Arial"/>
                <w:sz w:val="20"/>
                <w:szCs w:val="20"/>
              </w:rPr>
              <w:t>CyC</w:t>
            </w:r>
            <w:proofErr w:type="spellEnd"/>
            <w:r w:rsidRPr="00526C98">
              <w:rPr>
                <w:rFonts w:ascii="Verdana" w:hAnsi="Verdana" w:cs="Arial"/>
                <w:sz w:val="20"/>
                <w:szCs w:val="20"/>
              </w:rPr>
              <w:t xml:space="preserve"> con deficiencia en la definición de las características </w:t>
            </w:r>
            <w:r>
              <w:rPr>
                <w:rFonts w:ascii="Verdana" w:hAnsi="Verdana" w:cs="Arial"/>
                <w:sz w:val="20"/>
                <w:szCs w:val="20"/>
              </w:rPr>
              <w:t>comparativas</w:t>
            </w:r>
          </w:p>
        </w:tc>
      </w:tr>
    </w:tbl>
    <w:p w:rsidR="004A2879" w:rsidRPr="00526C98" w:rsidRDefault="004A2879">
      <w:pPr>
        <w:rPr>
          <w:rFonts w:ascii="Verdana" w:hAnsi="Verdana" w:cs="Arial"/>
          <w:sz w:val="20"/>
          <w:szCs w:val="20"/>
        </w:rPr>
      </w:pPr>
    </w:p>
    <w:sectPr w:rsidR="004A2879" w:rsidRPr="00526C98" w:rsidSect="00ED1A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D6" w:rsidRDefault="009A30D6" w:rsidP="00526C98">
      <w:pPr>
        <w:spacing w:after="0" w:line="240" w:lineRule="auto"/>
      </w:pPr>
      <w:r>
        <w:separator/>
      </w:r>
    </w:p>
  </w:endnote>
  <w:endnote w:type="continuationSeparator" w:id="0">
    <w:p w:rsidR="009A30D6" w:rsidRDefault="009A30D6" w:rsidP="0052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D6" w:rsidRDefault="009A30D6" w:rsidP="00526C98">
      <w:pPr>
        <w:spacing w:after="0" w:line="240" w:lineRule="auto"/>
      </w:pPr>
      <w:r>
        <w:separator/>
      </w:r>
    </w:p>
  </w:footnote>
  <w:footnote w:type="continuationSeparator" w:id="0">
    <w:p w:rsidR="009A30D6" w:rsidRDefault="009A30D6" w:rsidP="0052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1"/>
    <w:rsid w:val="000B0AF2"/>
    <w:rsid w:val="00154B65"/>
    <w:rsid w:val="004A2879"/>
    <w:rsid w:val="00526C98"/>
    <w:rsid w:val="006876FE"/>
    <w:rsid w:val="007C3603"/>
    <w:rsid w:val="009A30D6"/>
    <w:rsid w:val="00B575E9"/>
    <w:rsid w:val="00CC782E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ED1A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ED1A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ED1A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C98"/>
  </w:style>
  <w:style w:type="paragraph" w:styleId="Piedepgina">
    <w:name w:val="footer"/>
    <w:basedOn w:val="Normal"/>
    <w:link w:val="PiedepginaCar"/>
    <w:uiPriority w:val="99"/>
    <w:unhideWhenUsed/>
    <w:rsid w:val="0052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ED1A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ED1A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ED1A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C98"/>
  </w:style>
  <w:style w:type="paragraph" w:styleId="Piedepgina">
    <w:name w:val="footer"/>
    <w:basedOn w:val="Normal"/>
    <w:link w:val="PiedepginaCar"/>
    <w:uiPriority w:val="99"/>
    <w:unhideWhenUsed/>
    <w:rsid w:val="0052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5</cp:revision>
  <cp:lastPrinted>2014-03-21T05:13:00Z</cp:lastPrinted>
  <dcterms:created xsi:type="dcterms:W3CDTF">2014-03-21T04:35:00Z</dcterms:created>
  <dcterms:modified xsi:type="dcterms:W3CDTF">2017-04-04T01:51:00Z</dcterms:modified>
</cp:coreProperties>
</file>