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28285109"/>
        <w:docPartObj>
          <w:docPartGallery w:val="Cover Pages"/>
          <w:docPartUnique/>
        </w:docPartObj>
      </w:sdtPr>
      <w:sdtEndPr>
        <w:rPr>
          <w:rFonts w:ascii="Arial" w:hAnsi="Arial" w:cs="Arial"/>
          <w:noProof/>
          <w:sz w:val="24"/>
          <w:szCs w:val="24"/>
          <w:lang w:val="en-US"/>
        </w:rPr>
      </w:sdtEndPr>
      <w:sdtContent>
        <w:p w:rsidR="00F7352B" w:rsidRDefault="00F7352B">
          <w:pPr>
            <w:rPr>
              <w:lang w:val="es-ES"/>
            </w:rPr>
          </w:pPr>
        </w:p>
        <w:p w:rsidR="00F7352B" w:rsidRDefault="00F7352B">
          <w:pPr>
            <w:rPr>
              <w:lang w:val="es-ES"/>
            </w:rPr>
          </w:pPr>
          <w:r w:rsidRPr="00F145B4">
            <w:rPr>
              <w:noProof/>
              <w:lang w:val="es-E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F7352B" w:rsidRDefault="00F7352B">
                        <w:pPr>
                          <w:pStyle w:val="Sinespaciado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Organización"/>
                            <w:id w:val="795097956"/>
                            <w:placeholder>
                              <w:docPart w:val="20DB27F4BF3E4D26ADAB2FDB16F939AB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Universidad Guadalajara Lamar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Año"/>
                          <w:id w:val="795097976"/>
                          <w:placeholder>
                            <w:docPart w:val="E23009D75FAC4EAB9A14351B1B6F3DA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7352B" w:rsidRDefault="00F7352B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s-ES"/>
                          </w:rPr>
                          <w:alias w:val="Título"/>
                          <w:id w:val="795097961"/>
                          <w:placeholder>
                            <w:docPart w:val="2C24C55DB749483C9456E1A54C788011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7352B" w:rsidRDefault="00F7352B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  <w:t>Medicina Basada en Evidencia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795097966"/>
                          <w:placeholder>
                            <w:docPart w:val="41F0BE60864F4A2A8DEF226FF45AB121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7352B" w:rsidRDefault="00AB6C70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Actividad Preliminar:                                Conceptos de Epidemiología Clínica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alias w:val="Autor"/>
                          <w:id w:val="795097971"/>
                          <w:placeholder>
                            <w:docPart w:val="68FEC5E9F20E410D840EF35D7B33A40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7352B" w:rsidRDefault="00F7352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Alumna: Barajas Cisneros Itzel Alexandra</w:t>
                            </w:r>
                          </w:p>
                        </w:sdtContent>
                      </w:sdt>
                      <w:p w:rsidR="00F7352B" w:rsidRDefault="00AB6C70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t>LME4430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795097981"/>
                          <w:placeholder>
                            <w:docPart w:val="8740F0A9BD4B400E8482DD146648B4D7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F7352B" w:rsidRDefault="00F7352B">
                            <w:pPr>
                              <w:pStyle w:val="Sinespaciad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Licenciatura en Medicina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7352B" w:rsidRDefault="00F7352B">
          <w:pPr>
            <w:rPr>
              <w:rFonts w:ascii="Arial" w:hAnsi="Arial" w:cs="Arial"/>
              <w:noProof/>
              <w:sz w:val="24"/>
              <w:szCs w:val="24"/>
              <w:lang w:val="en-US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br w:type="page"/>
          </w:r>
        </w:p>
      </w:sdtContent>
    </w:sdt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</w:p>
    <w:p w:rsidR="00F7352B" w:rsidRDefault="00F735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Instrucciones</w:t>
      </w:r>
    </w:p>
    <w:p w:rsidR="00F7352B" w:rsidRDefault="00F7352B" w:rsidP="00F7352B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F7352B">
        <w:rPr>
          <w:rFonts w:ascii="Arial" w:hAnsi="Arial" w:cs="Arial"/>
          <w:sz w:val="24"/>
        </w:rPr>
        <w:t>Investigar la historia de la medicina basada en evidencia.</w:t>
      </w:r>
    </w:p>
    <w:p w:rsidR="00F7352B" w:rsidRPr="00F7352B" w:rsidRDefault="00F7352B" w:rsidP="00F7352B">
      <w:pPr>
        <w:pStyle w:val="Prrafodelista"/>
        <w:rPr>
          <w:rFonts w:ascii="Arial" w:hAnsi="Arial" w:cs="Arial"/>
          <w:sz w:val="24"/>
        </w:rPr>
      </w:pPr>
    </w:p>
    <w:p w:rsidR="00F7352B" w:rsidRDefault="00F7352B" w:rsidP="00F7352B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F7352B">
        <w:rPr>
          <w:rFonts w:ascii="Arial" w:hAnsi="Arial" w:cs="Arial"/>
          <w:sz w:val="24"/>
        </w:rPr>
        <w:t>Investigar los tipos de estudio que se involucran (solo nombre).</w:t>
      </w:r>
    </w:p>
    <w:p w:rsidR="00F7352B" w:rsidRPr="00F7352B" w:rsidRDefault="00F7352B" w:rsidP="00F7352B">
      <w:pPr>
        <w:pStyle w:val="Prrafodelista"/>
        <w:rPr>
          <w:rFonts w:ascii="Arial" w:hAnsi="Arial" w:cs="Arial"/>
          <w:sz w:val="24"/>
        </w:rPr>
      </w:pPr>
    </w:p>
    <w:p w:rsidR="00F7352B" w:rsidRPr="00F7352B" w:rsidRDefault="00F7352B" w:rsidP="00F7352B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F7352B">
        <w:rPr>
          <w:rFonts w:ascii="Arial" w:hAnsi="Arial" w:cs="Arial"/>
          <w:sz w:val="24"/>
        </w:rPr>
        <w:t>Investigar tipos de sesgos, acomodar en una tabla con sus diferencias.</w:t>
      </w:r>
      <w:r>
        <w:br w:type="page"/>
      </w:r>
    </w:p>
    <w:p w:rsidR="0095608F" w:rsidRPr="0009211B" w:rsidRDefault="0009211B" w:rsidP="0009211B">
      <w:pPr>
        <w:pStyle w:val="Ttulo"/>
        <w:jc w:val="center"/>
      </w:pPr>
      <w:r w:rsidRPr="0009211B">
        <w:lastRenderedPageBreak/>
        <w:t>Medicina Basada en Evidencias</w:t>
      </w:r>
    </w:p>
    <w:p w:rsidR="00785427" w:rsidRPr="00785427" w:rsidRDefault="00785427" w:rsidP="00F2626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DEFINICIÓN</w:t>
      </w:r>
    </w:p>
    <w:p w:rsidR="0009211B" w:rsidRPr="00F26269" w:rsidRDefault="0009211B" w:rsidP="00F26269">
      <w:pPr>
        <w:jc w:val="both"/>
        <w:rPr>
          <w:rFonts w:ascii="Arial" w:hAnsi="Arial" w:cs="Arial"/>
          <w:sz w:val="24"/>
          <w:szCs w:val="24"/>
        </w:rPr>
      </w:pPr>
      <w:r w:rsidRPr="00F26269">
        <w:rPr>
          <w:rFonts w:ascii="Arial" w:hAnsi="Arial" w:cs="Arial"/>
          <w:sz w:val="24"/>
          <w:szCs w:val="24"/>
          <w:lang w:val="es-ES_tradnl"/>
        </w:rPr>
        <w:t xml:space="preserve">La medicina basada en evidencia </w:t>
      </w:r>
      <w:r w:rsidRPr="00F26269">
        <w:rPr>
          <w:rFonts w:ascii="Arial" w:hAnsi="Arial" w:cs="Arial"/>
          <w:sz w:val="24"/>
          <w:szCs w:val="24"/>
        </w:rPr>
        <w:t>es la integración de la mejor evidencia de la investigación publicada, con la pericia clínica y los valores del paciente</w:t>
      </w:r>
      <w:r w:rsidR="00F26269">
        <w:rPr>
          <w:rFonts w:ascii="Arial" w:hAnsi="Arial" w:cs="Arial"/>
          <w:sz w:val="24"/>
          <w:szCs w:val="24"/>
          <w:vertAlign w:val="superscript"/>
        </w:rPr>
        <w:t>1</w:t>
      </w:r>
      <w:r w:rsidR="001C36E3" w:rsidRPr="00F26269">
        <w:rPr>
          <w:rFonts w:ascii="Arial" w:hAnsi="Arial" w:cs="Arial"/>
          <w:sz w:val="24"/>
          <w:szCs w:val="24"/>
        </w:rPr>
        <w:t>.</w:t>
      </w:r>
    </w:p>
    <w:p w:rsidR="00785427" w:rsidRPr="00785427" w:rsidRDefault="00785427" w:rsidP="00F26269">
      <w:pPr>
        <w:jc w:val="both"/>
        <w:rPr>
          <w:rFonts w:ascii="Arial" w:hAnsi="Arial" w:cs="Arial"/>
          <w:b/>
          <w:sz w:val="24"/>
          <w:szCs w:val="24"/>
        </w:rPr>
      </w:pPr>
      <w:r w:rsidRPr="00785427">
        <w:rPr>
          <w:rFonts w:ascii="Arial" w:hAnsi="Arial" w:cs="Arial"/>
          <w:b/>
          <w:sz w:val="24"/>
          <w:szCs w:val="24"/>
        </w:rPr>
        <w:t>HISTORIA</w:t>
      </w:r>
    </w:p>
    <w:p w:rsidR="00F26269" w:rsidRDefault="001C36E3" w:rsidP="00F2626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269">
        <w:rPr>
          <w:rFonts w:ascii="Arial" w:hAnsi="Arial" w:cs="Arial"/>
          <w:sz w:val="24"/>
          <w:szCs w:val="24"/>
        </w:rPr>
        <w:t>Fue en 1836 cuando el Dr. Pierre Louis afirmó por primera vez lo siguiente: Para garantizar que un tratamiento sirve a nuestros pacientes, es necesario medir sus resultados con la ayuda de la estadística</w:t>
      </w:r>
      <w:r w:rsidR="00F26269">
        <w:rPr>
          <w:rFonts w:ascii="Arial" w:hAnsi="Arial" w:cs="Arial"/>
          <w:sz w:val="24"/>
          <w:szCs w:val="24"/>
          <w:vertAlign w:val="superscript"/>
        </w:rPr>
        <w:t>1</w:t>
      </w:r>
      <w:r w:rsidR="00F26269" w:rsidRPr="00F26269">
        <w:rPr>
          <w:rFonts w:ascii="Arial" w:hAnsi="Arial" w:cs="Arial"/>
          <w:sz w:val="24"/>
          <w:szCs w:val="24"/>
        </w:rPr>
        <w:t xml:space="preserve">. </w:t>
      </w:r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fines de los 70 varios epidemiólogos clínicos, entre los que destacan D.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Sackett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B.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Haynes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P.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Tugwell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, se esforzaban por integrar la investigación clínica a la toma de decisiones para los pacientes. En la década del 80 aparecieron en el</w:t>
      </w:r>
      <w:r w:rsidR="00F26269" w:rsidRPr="00F2626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26269" w:rsidRPr="00F26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Canadian </w:t>
      </w:r>
      <w:proofErr w:type="spellStart"/>
      <w:r w:rsidR="00F26269" w:rsidRPr="00F26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Medical</w:t>
      </w:r>
      <w:proofErr w:type="spellEnd"/>
      <w:r w:rsidR="00F26269" w:rsidRPr="00F26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Association</w:t>
      </w:r>
      <w:proofErr w:type="spellEnd"/>
      <w:r w:rsidR="00F26269" w:rsidRPr="00F26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Journal</w:t>
      </w:r>
      <w:proofErr w:type="spellEnd"/>
      <w:r w:rsidR="00F26269" w:rsidRPr="00F2626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 primeras publicaciones orientadas a revisar críticamente estudios publicados en revistas médicas. En 1990, G.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Guyatt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acuñó el término «Medicina Basada en Evidencia» (MBE) en un documento informal destinado a los residentes de Medicina Interna de la Universidad de Mc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Master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, en Canadá. En 1992, el JAMA inició la serie de artículos «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Users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Guides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Medical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Literature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iniciativa liderada por el Dr.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Guyatt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epidemiólogos clínicos de universidades norteamericanas y europeas. Posteriormente, el término MBE fue ampliado para incluir otras especialidades médicas y no médicas que inciden en el cuidado de pacientes, denominándose «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Evidence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Based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Health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Care</w:t>
      </w:r>
      <w:proofErr w:type="spellEnd"/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» (EBHC), que algunos traducen como «Cuidados de Salud Basados en Evidencia» o «Atención de Salud Basada en Evidencia»; estas traducciones no han logrado aceptación general, por lo que seguiremos usando el término MBE, para referirnos a la EBHC</w:t>
      </w:r>
      <w:r w:rsidR="00F26269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F26269" w:rsidRPr="00F2626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85427" w:rsidRDefault="00785427" w:rsidP="00F26269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TIPOS DE ESTUDIOS</w:t>
      </w:r>
    </w:p>
    <w:p w:rsidR="00F26269" w:rsidRDefault="00785427" w:rsidP="00785427">
      <w:pPr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  <w:vertAlign w:val="superscript"/>
          <w:lang w:val="en-US"/>
        </w:rPr>
        <w:drawing>
          <wp:inline distT="0" distB="0" distL="0" distR="0">
            <wp:extent cx="4972469" cy="150099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34" t="24553" r="25827"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69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785427" w:rsidRDefault="00785427" w:rsidP="00785427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85427" w:rsidRPr="00785427" w:rsidRDefault="00785427" w:rsidP="00785427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85427" w:rsidRDefault="00785427" w:rsidP="00785427">
      <w:pPr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105041" cy="2403850"/>
            <wp:effectExtent l="19050" t="0" r="359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487" t="36855" r="25869" b="10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48" cy="240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2B6">
        <w:rPr>
          <w:rFonts w:ascii="Arial" w:hAnsi="Arial" w:cs="Arial"/>
          <w:sz w:val="24"/>
          <w:szCs w:val="24"/>
          <w:vertAlign w:val="superscript"/>
        </w:rPr>
        <w:t>3</w:t>
      </w:r>
    </w:p>
    <w:p w:rsidR="00FC62B6" w:rsidRDefault="002236CE" w:rsidP="00FC62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SESGOS</w:t>
      </w:r>
    </w:p>
    <w:tbl>
      <w:tblPr>
        <w:tblStyle w:val="Listaoscura-nfasis5"/>
        <w:tblW w:w="0" w:type="auto"/>
        <w:tblLook w:val="04A0"/>
      </w:tblPr>
      <w:tblGrid>
        <w:gridCol w:w="4527"/>
        <w:gridCol w:w="4527"/>
      </w:tblGrid>
      <w:tr w:rsidR="002236CE" w:rsidTr="00665A69">
        <w:trPr>
          <w:cnfStyle w:val="100000000000"/>
        </w:trPr>
        <w:tc>
          <w:tcPr>
            <w:cnfStyle w:val="001000000000"/>
            <w:tcW w:w="4527" w:type="dxa"/>
            <w:vAlign w:val="center"/>
          </w:tcPr>
          <w:p w:rsidR="002236CE" w:rsidRDefault="002236CE" w:rsidP="00665A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Sesgo</w:t>
            </w:r>
          </w:p>
        </w:tc>
        <w:tc>
          <w:tcPr>
            <w:tcW w:w="4527" w:type="dxa"/>
            <w:vAlign w:val="center"/>
          </w:tcPr>
          <w:p w:rsidR="002236CE" w:rsidRDefault="002236CE" w:rsidP="00665A69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Características</w:t>
            </w:r>
          </w:p>
        </w:tc>
      </w:tr>
      <w:tr w:rsidR="002236CE" w:rsidTr="00665A69">
        <w:trPr>
          <w:cnfStyle w:val="000000100000"/>
        </w:trPr>
        <w:tc>
          <w:tcPr>
            <w:cnfStyle w:val="001000000000"/>
            <w:tcW w:w="4527" w:type="dxa"/>
            <w:vAlign w:val="center"/>
          </w:tcPr>
          <w:p w:rsidR="002236CE" w:rsidRDefault="002236CE" w:rsidP="00665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Selección</w:t>
            </w:r>
          </w:p>
        </w:tc>
        <w:tc>
          <w:tcPr>
            <w:tcW w:w="4527" w:type="dxa"/>
          </w:tcPr>
          <w:p w:rsidR="002236CE" w:rsidRDefault="002236CE" w:rsidP="00665A69">
            <w:pPr>
              <w:jc w:val="both"/>
              <w:cnfStyle w:val="000000100000"/>
            </w:pPr>
            <w:r>
              <w:t>Hace referencia a cualquier error que se deriva del proceso de identificación de la población a estudiar. La distorsión resulta de la forma en que los sujetos han sido seleccionados.</w:t>
            </w:r>
          </w:p>
          <w:p w:rsidR="002236CE" w:rsidRDefault="002236CE" w:rsidP="00665A69">
            <w:pPr>
              <w:jc w:val="both"/>
              <w:cnfStyle w:val="000000100000"/>
            </w:pPr>
            <w:r>
              <w:t xml:space="preserve">Estos sesgos se pueden cometer: </w:t>
            </w:r>
          </w:p>
          <w:p w:rsidR="002236CE" w:rsidRDefault="002236CE" w:rsidP="00665A69">
            <w:pPr>
              <w:ind w:left="435"/>
              <w:jc w:val="both"/>
              <w:cnfStyle w:val="000000100000"/>
            </w:pPr>
            <w:r>
              <w:t xml:space="preserve">a. Al seleccionar el grupo control. </w:t>
            </w:r>
          </w:p>
          <w:p w:rsidR="002236CE" w:rsidRDefault="002236CE" w:rsidP="00665A69">
            <w:pPr>
              <w:ind w:left="435"/>
              <w:jc w:val="both"/>
              <w:cnfStyle w:val="000000100000"/>
            </w:pPr>
            <w:r>
              <w:t xml:space="preserve">b. Al seleccionar el espacio </w:t>
            </w:r>
            <w:proofErr w:type="spellStart"/>
            <w:r>
              <w:t>muestral</w:t>
            </w:r>
            <w:proofErr w:type="spellEnd"/>
            <w:r>
              <w:t xml:space="preserve"> donde se realizará el estudio. </w:t>
            </w:r>
          </w:p>
          <w:p w:rsidR="002236CE" w:rsidRDefault="002236CE" w:rsidP="00665A69">
            <w:pPr>
              <w:ind w:left="435"/>
              <w:jc w:val="both"/>
              <w:cnfStyle w:val="000000100000"/>
            </w:pPr>
            <w:r>
              <w:t xml:space="preserve">c. Por pérdidas en el seguimiento. </w:t>
            </w:r>
          </w:p>
          <w:p w:rsidR="002236CE" w:rsidRDefault="002236CE" w:rsidP="00665A69">
            <w:pPr>
              <w:ind w:left="435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t>d. Por la presencia de una supervivencia selectiva</w:t>
            </w:r>
            <w:r w:rsidR="00665A69">
              <w:rPr>
                <w:vertAlign w:val="superscript"/>
              </w:rPr>
              <w:t>2</w:t>
            </w:r>
            <w:r>
              <w:t>.</w:t>
            </w:r>
          </w:p>
        </w:tc>
      </w:tr>
      <w:tr w:rsidR="002236CE" w:rsidRPr="00665A69" w:rsidTr="00665A69">
        <w:tc>
          <w:tcPr>
            <w:cnfStyle w:val="001000000000"/>
            <w:tcW w:w="4527" w:type="dxa"/>
            <w:vAlign w:val="center"/>
          </w:tcPr>
          <w:p w:rsidR="002236CE" w:rsidRDefault="002236CE" w:rsidP="00665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Información u observación</w:t>
            </w:r>
          </w:p>
        </w:tc>
        <w:tc>
          <w:tcPr>
            <w:tcW w:w="4527" w:type="dxa"/>
          </w:tcPr>
          <w:p w:rsidR="002236CE" w:rsidRDefault="002236CE" w:rsidP="00665A69">
            <w:pPr>
              <w:jc w:val="both"/>
              <w:cnfStyle w:val="000000000000"/>
            </w:pPr>
            <w:r>
              <w:t>Los sesgos de observación o información se derivan de las diferencias sistemáticas en las que los datos sobre exposición o resultado final, se obtienen de los diferentes grupos. El rehusar o no responder en un estudio puede introducir sesgos si la tasa de respuesta está relacionada con el status de exposición.</w:t>
            </w:r>
          </w:p>
          <w:p w:rsidR="00665A69" w:rsidRDefault="00665A69" w:rsidP="00665A69">
            <w:pPr>
              <w:jc w:val="both"/>
              <w:cnfStyle w:val="000000000000"/>
            </w:pPr>
            <w:r>
              <w:t xml:space="preserve">Las fuentes de sesgo de información más frecuentes son: </w:t>
            </w:r>
          </w:p>
          <w:p w:rsidR="00665A69" w:rsidRDefault="00665A69" w:rsidP="00665A69">
            <w:pPr>
              <w:ind w:left="435"/>
              <w:jc w:val="both"/>
              <w:cnfStyle w:val="000000000000"/>
            </w:pPr>
            <w:r>
              <w:t xml:space="preserve">a. Instrumento de medida no adecuado. </w:t>
            </w:r>
          </w:p>
          <w:p w:rsidR="00665A69" w:rsidRDefault="00665A69" w:rsidP="00665A69">
            <w:pPr>
              <w:ind w:left="435"/>
              <w:jc w:val="both"/>
              <w:cnfStyle w:val="000000000000"/>
            </w:pPr>
            <w:r>
              <w:t xml:space="preserve">b. Criterios diagnósticos incorrectos. </w:t>
            </w:r>
          </w:p>
          <w:p w:rsidR="00665A69" w:rsidRDefault="00665A69" w:rsidP="00665A69">
            <w:pPr>
              <w:ind w:left="435"/>
              <w:jc w:val="both"/>
              <w:cnfStyle w:val="000000000000"/>
            </w:pPr>
            <w:r>
              <w:t xml:space="preserve">c. Omisiones. d. Imprecisiones en la información. </w:t>
            </w:r>
          </w:p>
          <w:p w:rsidR="00665A69" w:rsidRDefault="00665A69" w:rsidP="00665A69">
            <w:pPr>
              <w:ind w:left="435"/>
              <w:jc w:val="both"/>
              <w:cnfStyle w:val="000000000000"/>
            </w:pPr>
            <w:r>
              <w:t xml:space="preserve">e. Errores en la clasificación. </w:t>
            </w:r>
          </w:p>
          <w:p w:rsidR="002236CE" w:rsidRDefault="00665A69" w:rsidP="00665A69">
            <w:pPr>
              <w:ind w:left="435"/>
              <w:jc w:val="both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t>f. Errores introducidos por los cuestionarios o las encuestadoras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665A69" w:rsidRDefault="00665A69" w:rsidP="00FC62B6">
      <w:pPr>
        <w:rPr>
          <w:rFonts w:ascii="Arial" w:hAnsi="Arial" w:cs="Arial"/>
          <w:b/>
          <w:sz w:val="24"/>
          <w:szCs w:val="24"/>
        </w:rPr>
      </w:pPr>
    </w:p>
    <w:p w:rsidR="00665A69" w:rsidRDefault="00665A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236CE" w:rsidRDefault="00665A69" w:rsidP="00FC62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BIBLIOGRAFIA</w:t>
      </w:r>
    </w:p>
    <w:p w:rsidR="00665A69" w:rsidRPr="00F7352B" w:rsidRDefault="00F7352B" w:rsidP="00F735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F7352B">
        <w:rPr>
          <w:rFonts w:ascii="Arial" w:hAnsi="Arial" w:cs="Arial"/>
          <w:sz w:val="24"/>
          <w:szCs w:val="18"/>
          <w:shd w:val="clear" w:color="auto" w:fill="FFFFFF"/>
        </w:rPr>
        <w:t xml:space="preserve">ESPINOSA, Carlos </w:t>
      </w:r>
      <w:proofErr w:type="spellStart"/>
      <w:r w:rsidRPr="00F7352B">
        <w:rPr>
          <w:rFonts w:ascii="Arial" w:hAnsi="Arial" w:cs="Arial"/>
          <w:sz w:val="24"/>
          <w:szCs w:val="18"/>
          <w:shd w:val="clear" w:color="auto" w:fill="FFFFFF"/>
        </w:rPr>
        <w:t>Alva</w:t>
      </w:r>
      <w:proofErr w:type="spellEnd"/>
      <w:r w:rsidRPr="00F7352B">
        <w:rPr>
          <w:rFonts w:ascii="Arial" w:hAnsi="Arial" w:cs="Arial"/>
          <w:sz w:val="24"/>
          <w:szCs w:val="18"/>
          <w:shd w:val="clear" w:color="auto" w:fill="FFFFFF"/>
        </w:rPr>
        <w:t>. Medicina basada en evidencias.</w:t>
      </w:r>
      <w:r w:rsidRPr="00F7352B">
        <w:rPr>
          <w:rStyle w:val="apple-converted-space"/>
          <w:rFonts w:ascii="Arial" w:hAnsi="Arial" w:cs="Arial"/>
          <w:sz w:val="24"/>
          <w:szCs w:val="18"/>
          <w:shd w:val="clear" w:color="auto" w:fill="FFFFFF"/>
        </w:rPr>
        <w:t> </w:t>
      </w:r>
      <w:r w:rsidRPr="00F7352B">
        <w:rPr>
          <w:rFonts w:ascii="Arial" w:hAnsi="Arial" w:cs="Arial"/>
          <w:i/>
          <w:iCs/>
          <w:sz w:val="24"/>
          <w:szCs w:val="18"/>
          <w:shd w:val="clear" w:color="auto" w:fill="FFFFFF"/>
        </w:rPr>
        <w:t>Evidencia Médica e Investigación en Salud</w:t>
      </w:r>
      <w:r w:rsidRPr="00F7352B">
        <w:rPr>
          <w:rFonts w:ascii="Arial" w:hAnsi="Arial" w:cs="Arial"/>
          <w:sz w:val="24"/>
          <w:szCs w:val="18"/>
          <w:shd w:val="clear" w:color="auto" w:fill="FFFFFF"/>
        </w:rPr>
        <w:t>, 2012, vol. 5, no S1, p. 6-8.</w:t>
      </w:r>
    </w:p>
    <w:p w:rsidR="00F7352B" w:rsidRPr="00F7352B" w:rsidRDefault="00F7352B" w:rsidP="00F735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F7352B">
        <w:rPr>
          <w:rFonts w:ascii="Arial" w:hAnsi="Arial" w:cs="Arial"/>
          <w:sz w:val="24"/>
          <w:szCs w:val="18"/>
          <w:shd w:val="clear" w:color="auto" w:fill="FFFFFF"/>
        </w:rPr>
        <w:t xml:space="preserve">LETELIER, Luz María; MOORE, </w:t>
      </w:r>
      <w:proofErr w:type="spellStart"/>
      <w:r w:rsidRPr="00F7352B">
        <w:rPr>
          <w:rFonts w:ascii="Arial" w:hAnsi="Arial" w:cs="Arial"/>
          <w:sz w:val="24"/>
          <w:szCs w:val="18"/>
          <w:shd w:val="clear" w:color="auto" w:fill="FFFFFF"/>
        </w:rPr>
        <w:t>Philippa</w:t>
      </w:r>
      <w:proofErr w:type="spellEnd"/>
      <w:r w:rsidRPr="00F7352B">
        <w:rPr>
          <w:rFonts w:ascii="Arial" w:hAnsi="Arial" w:cs="Arial"/>
          <w:sz w:val="24"/>
          <w:szCs w:val="18"/>
          <w:shd w:val="clear" w:color="auto" w:fill="FFFFFF"/>
        </w:rPr>
        <w:t>. La medicina basada en evidencia: Visión después de una década.</w:t>
      </w:r>
      <w:r w:rsidRPr="00F7352B">
        <w:rPr>
          <w:rStyle w:val="apple-converted-space"/>
          <w:rFonts w:ascii="Arial" w:hAnsi="Arial" w:cs="Arial"/>
          <w:sz w:val="24"/>
          <w:szCs w:val="18"/>
          <w:shd w:val="clear" w:color="auto" w:fill="FFFFFF"/>
        </w:rPr>
        <w:t> </w:t>
      </w:r>
      <w:r w:rsidRPr="00F7352B">
        <w:rPr>
          <w:rFonts w:ascii="Arial" w:hAnsi="Arial" w:cs="Arial"/>
          <w:i/>
          <w:iCs/>
          <w:sz w:val="24"/>
          <w:szCs w:val="18"/>
          <w:shd w:val="clear" w:color="auto" w:fill="FFFFFF"/>
        </w:rPr>
        <w:t>Revista médica de Chile</w:t>
      </w:r>
      <w:r w:rsidRPr="00F7352B">
        <w:rPr>
          <w:rFonts w:ascii="Arial" w:hAnsi="Arial" w:cs="Arial"/>
          <w:sz w:val="24"/>
          <w:szCs w:val="18"/>
          <w:shd w:val="clear" w:color="auto" w:fill="FFFFFF"/>
        </w:rPr>
        <w:t>, 2003, vol. 131, no 8, p. 939-946.</w:t>
      </w:r>
    </w:p>
    <w:p w:rsidR="00F7352B" w:rsidRPr="00F7352B" w:rsidRDefault="00F7352B" w:rsidP="00F735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F7352B">
        <w:rPr>
          <w:rFonts w:ascii="Arial" w:hAnsi="Arial" w:cs="Arial"/>
          <w:sz w:val="24"/>
          <w:szCs w:val="18"/>
          <w:shd w:val="clear" w:color="auto" w:fill="FFFFFF"/>
        </w:rPr>
        <w:t>FERNÁNDEZ, Pita. Tipos de estudios clínico epidemiológicos.</w:t>
      </w:r>
      <w:r w:rsidRPr="00F7352B">
        <w:rPr>
          <w:rStyle w:val="apple-converted-space"/>
          <w:rFonts w:ascii="Arial" w:hAnsi="Arial" w:cs="Arial"/>
          <w:sz w:val="24"/>
          <w:szCs w:val="18"/>
          <w:shd w:val="clear" w:color="auto" w:fill="FFFFFF"/>
        </w:rPr>
        <w:t> </w:t>
      </w:r>
      <w:r w:rsidRPr="00F7352B">
        <w:rPr>
          <w:rFonts w:ascii="Arial" w:hAnsi="Arial" w:cs="Arial"/>
          <w:i/>
          <w:iCs/>
          <w:sz w:val="24"/>
          <w:szCs w:val="18"/>
          <w:shd w:val="clear" w:color="auto" w:fill="FFFFFF"/>
        </w:rPr>
        <w:t xml:space="preserve">Epidemiología. Conceptos básicos en: Tratado de epidemiología clínica. Madrid. DuPont </w:t>
      </w:r>
      <w:proofErr w:type="spellStart"/>
      <w:r w:rsidRPr="00F7352B">
        <w:rPr>
          <w:rFonts w:ascii="Arial" w:hAnsi="Arial" w:cs="Arial"/>
          <w:i/>
          <w:iCs/>
          <w:sz w:val="24"/>
          <w:szCs w:val="18"/>
          <w:shd w:val="clear" w:color="auto" w:fill="FFFFFF"/>
        </w:rPr>
        <w:t>Pharma</w:t>
      </w:r>
      <w:proofErr w:type="spellEnd"/>
      <w:r w:rsidRPr="00F7352B">
        <w:rPr>
          <w:rFonts w:ascii="Arial" w:hAnsi="Arial" w:cs="Arial"/>
          <w:i/>
          <w:iCs/>
          <w:sz w:val="24"/>
          <w:szCs w:val="18"/>
          <w:shd w:val="clear" w:color="auto" w:fill="FFFFFF"/>
        </w:rPr>
        <w:t>, SA</w:t>
      </w:r>
      <w:r w:rsidRPr="00F7352B">
        <w:rPr>
          <w:rFonts w:ascii="Arial" w:hAnsi="Arial" w:cs="Arial"/>
          <w:sz w:val="24"/>
          <w:szCs w:val="18"/>
          <w:shd w:val="clear" w:color="auto" w:fill="FFFFFF"/>
        </w:rPr>
        <w:t>, 2001, vol. 174.</w:t>
      </w:r>
    </w:p>
    <w:p w:rsidR="002236CE" w:rsidRPr="002236CE" w:rsidRDefault="002236CE" w:rsidP="00FC62B6">
      <w:pPr>
        <w:rPr>
          <w:rFonts w:ascii="Arial" w:hAnsi="Arial" w:cs="Arial"/>
          <w:b/>
          <w:sz w:val="24"/>
          <w:szCs w:val="24"/>
        </w:rPr>
      </w:pPr>
    </w:p>
    <w:sectPr w:rsidR="002236CE" w:rsidRPr="002236CE" w:rsidSect="00F7352B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808"/>
    <w:multiLevelType w:val="hybridMultilevel"/>
    <w:tmpl w:val="338C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7057"/>
    <w:multiLevelType w:val="hybridMultilevel"/>
    <w:tmpl w:val="F722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154D"/>
    <w:multiLevelType w:val="hybridMultilevel"/>
    <w:tmpl w:val="AC58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6F15"/>
    <w:multiLevelType w:val="hybridMultilevel"/>
    <w:tmpl w:val="6B18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F4545"/>
    <w:multiLevelType w:val="hybridMultilevel"/>
    <w:tmpl w:val="3BFE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11B"/>
    <w:rsid w:val="0009211B"/>
    <w:rsid w:val="001C36E3"/>
    <w:rsid w:val="002236CE"/>
    <w:rsid w:val="00665A69"/>
    <w:rsid w:val="00785427"/>
    <w:rsid w:val="0095608F"/>
    <w:rsid w:val="009C7302"/>
    <w:rsid w:val="00AB6C70"/>
    <w:rsid w:val="00BD46AA"/>
    <w:rsid w:val="00F26269"/>
    <w:rsid w:val="00F7352B"/>
    <w:rsid w:val="00FC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92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2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customStyle="1" w:styleId="apple-converted-space">
    <w:name w:val="apple-converted-space"/>
    <w:basedOn w:val="Fuentedeprrafopredeter"/>
    <w:rsid w:val="00F26269"/>
  </w:style>
  <w:style w:type="character" w:styleId="Hipervnculo">
    <w:name w:val="Hyperlink"/>
    <w:basedOn w:val="Fuentedeprrafopredeter"/>
    <w:uiPriority w:val="99"/>
    <w:semiHidden/>
    <w:unhideWhenUsed/>
    <w:rsid w:val="00F262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269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22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5">
    <w:name w:val="Dark List Accent 5"/>
    <w:basedOn w:val="Tablanormal"/>
    <w:uiPriority w:val="70"/>
    <w:rsid w:val="00665A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Prrafodelista">
    <w:name w:val="List Paragraph"/>
    <w:basedOn w:val="Normal"/>
    <w:uiPriority w:val="34"/>
    <w:qFormat/>
    <w:rsid w:val="00665A6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7352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52B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DB27F4BF3E4D26ADAB2FDB16F9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0B8A-0EB4-48D9-9A15-DC92150A9C30}"/>
      </w:docPartPr>
      <w:docPartBody>
        <w:p w:rsidR="00000000" w:rsidRDefault="003C17E8" w:rsidP="003C17E8">
          <w:pPr>
            <w:pStyle w:val="20DB27F4BF3E4D26ADAB2FDB16F939AB"/>
          </w:pPr>
          <w:r>
            <w:rPr>
              <w:smallCaps/>
              <w:color w:val="FFFFFF" w:themeColor="background1"/>
              <w:sz w:val="44"/>
              <w:szCs w:val="44"/>
              <w:lang w:val="es-ES"/>
            </w:rPr>
            <w:t>[Escribir el nombre de la compañía]</w:t>
          </w:r>
        </w:p>
      </w:docPartBody>
    </w:docPart>
    <w:docPart>
      <w:docPartPr>
        <w:name w:val="E23009D75FAC4EAB9A14351B1B6F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1B57-BF22-45D9-8072-1F7B40D15C5B}"/>
      </w:docPartPr>
      <w:docPartBody>
        <w:p w:rsidR="00000000" w:rsidRDefault="003C17E8" w:rsidP="003C17E8">
          <w:pPr>
            <w:pStyle w:val="E23009D75FAC4EAB9A14351B1B6F3DA4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  <w:lang w:val="es-ES"/>
            </w:rPr>
            <w:t>[Año]</w:t>
          </w:r>
        </w:p>
      </w:docPartBody>
    </w:docPart>
    <w:docPart>
      <w:docPartPr>
        <w:name w:val="2C24C55DB749483C9456E1A54C78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D70C-F658-44DD-B59B-B746F653DB4C}"/>
      </w:docPartPr>
      <w:docPartBody>
        <w:p w:rsidR="00000000" w:rsidRDefault="003C17E8" w:rsidP="003C17E8">
          <w:pPr>
            <w:pStyle w:val="2C24C55DB749483C9456E1A54C788011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41F0BE60864F4A2A8DEF226FF45A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4B29-7C94-48AA-A3E8-F0D34BF2329D}"/>
      </w:docPartPr>
      <w:docPartBody>
        <w:p w:rsidR="00000000" w:rsidRDefault="003C17E8" w:rsidP="003C17E8">
          <w:pPr>
            <w:pStyle w:val="41F0BE60864F4A2A8DEF226FF45AB121"/>
          </w:pPr>
          <w:r>
            <w:rPr>
              <w:color w:val="FFFFFF" w:themeColor="background1"/>
              <w:sz w:val="40"/>
              <w:szCs w:val="40"/>
              <w:lang w:val="es-ES"/>
            </w:rPr>
            <w:t>[Escribir el subtítulo del documento]</w:t>
          </w:r>
        </w:p>
      </w:docPartBody>
    </w:docPart>
    <w:docPart>
      <w:docPartPr>
        <w:name w:val="68FEC5E9F20E410D840EF35D7B33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871C-FCED-4649-9216-68151803725B}"/>
      </w:docPartPr>
      <w:docPartBody>
        <w:p w:rsidR="00000000" w:rsidRDefault="003C17E8" w:rsidP="003C17E8">
          <w:pPr>
            <w:pStyle w:val="68FEC5E9F20E410D840EF35D7B33A40B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17E8"/>
    <w:rsid w:val="003C17E8"/>
    <w:rsid w:val="00EC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DB27F4BF3E4D26ADAB2FDB16F939AB">
    <w:name w:val="20DB27F4BF3E4D26ADAB2FDB16F939AB"/>
    <w:rsid w:val="003C17E8"/>
  </w:style>
  <w:style w:type="paragraph" w:customStyle="1" w:styleId="E23009D75FAC4EAB9A14351B1B6F3DA4">
    <w:name w:val="E23009D75FAC4EAB9A14351B1B6F3DA4"/>
    <w:rsid w:val="003C17E8"/>
  </w:style>
  <w:style w:type="paragraph" w:customStyle="1" w:styleId="2C24C55DB749483C9456E1A54C788011">
    <w:name w:val="2C24C55DB749483C9456E1A54C788011"/>
    <w:rsid w:val="003C17E8"/>
  </w:style>
  <w:style w:type="paragraph" w:customStyle="1" w:styleId="41F0BE60864F4A2A8DEF226FF45AB121">
    <w:name w:val="41F0BE60864F4A2A8DEF226FF45AB121"/>
    <w:rsid w:val="003C17E8"/>
  </w:style>
  <w:style w:type="paragraph" w:customStyle="1" w:styleId="68FEC5E9F20E410D840EF35D7B33A40B">
    <w:name w:val="68FEC5E9F20E410D840EF35D7B33A40B"/>
    <w:rsid w:val="003C17E8"/>
  </w:style>
  <w:style w:type="paragraph" w:customStyle="1" w:styleId="8740F0A9BD4B400E8482DD146648B4D7">
    <w:name w:val="8740F0A9BD4B400E8482DD146648B4D7"/>
    <w:rsid w:val="003C17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Licenciatura en Medicina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Actividad Preliminar:                                Conceptos de Epidemiología Clínica</dc:subject>
  <dc:creator>Alumna: Barajas Cisneros Itzel Alexandra</dc:creator>
  <cp:lastModifiedBy>Usuario de Windows</cp:lastModifiedBy>
  <cp:revision>1</cp:revision>
  <dcterms:created xsi:type="dcterms:W3CDTF">2017-01-23T01:59:00Z</dcterms:created>
  <dcterms:modified xsi:type="dcterms:W3CDTF">2017-01-23T03:40:00Z</dcterms:modified>
</cp:coreProperties>
</file>