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BC" w:rsidRDefault="00F564BC" w:rsidP="00F564BC">
      <w:pPr>
        <w:jc w:val="center"/>
        <w:rPr>
          <w:rFonts w:ascii="PT Sans" w:hAnsi="PT Sans"/>
          <w:color w:val="333333"/>
          <w:shd w:val="clear" w:color="auto" w:fill="FFFFFF"/>
        </w:rPr>
      </w:pPr>
      <w:r>
        <w:rPr>
          <w:rFonts w:ascii="PT Sans" w:hAnsi="PT Sans"/>
          <w:color w:val="333333"/>
          <w:shd w:val="clear" w:color="auto" w:fill="FFFFFF"/>
        </w:rPr>
        <w:t>HISTORIA DE LA MEDICINA BASADA EN EVIDENCIAS</w:t>
      </w:r>
    </w:p>
    <w:p w:rsidR="00F564BC" w:rsidRDefault="00F564BC" w:rsidP="00F564BC">
      <w:pPr>
        <w:jc w:val="center"/>
        <w:rPr>
          <w:rFonts w:ascii="PT Sans" w:hAnsi="PT Sans"/>
          <w:color w:val="333333"/>
          <w:shd w:val="clear" w:color="auto" w:fill="FFFFFF"/>
        </w:rPr>
      </w:pPr>
      <w:r>
        <w:rPr>
          <w:rFonts w:ascii="PT Sans" w:hAnsi="PT Sans"/>
          <w:color w:val="333333"/>
          <w:shd w:val="clear" w:color="auto" w:fill="FFFFFF"/>
        </w:rPr>
        <w:t>CARLOS GONGORA</w:t>
      </w:r>
    </w:p>
    <w:p w:rsidR="00F564BC" w:rsidRDefault="00F564BC">
      <w:pPr>
        <w:rPr>
          <w:rFonts w:ascii="PT Sans" w:hAnsi="PT Sans"/>
          <w:color w:val="333333"/>
          <w:shd w:val="clear" w:color="auto" w:fill="FFFFFF"/>
        </w:rPr>
      </w:pPr>
    </w:p>
    <w:p w:rsidR="001A69EA" w:rsidRPr="00F564BC" w:rsidRDefault="00F564BC">
      <w:pPr>
        <w:rPr>
          <w:rFonts w:ascii="Arial" w:hAnsi="Arial" w:cs="Arial"/>
          <w:color w:val="333333"/>
          <w:sz w:val="28"/>
          <w:szCs w:val="28"/>
          <w:shd w:val="clear" w:color="auto" w:fill="FFFFFF"/>
        </w:rPr>
      </w:pPr>
      <w:r w:rsidRPr="00F564BC">
        <w:rPr>
          <w:rFonts w:ascii="Arial" w:hAnsi="Arial" w:cs="Arial"/>
          <w:color w:val="333333"/>
          <w:sz w:val="28"/>
          <w:szCs w:val="28"/>
          <w:shd w:val="clear" w:color="auto" w:fill="FFFFFF"/>
        </w:rPr>
        <w:t xml:space="preserve">Oxford En 1995, se inaugura en Oxford el Centro de Medicina Basada en la Evidencia dirigido por este investigador, así como la Cochrane </w:t>
      </w:r>
      <w:proofErr w:type="spellStart"/>
      <w:r w:rsidRPr="00F564BC">
        <w:rPr>
          <w:rFonts w:ascii="Arial" w:hAnsi="Arial" w:cs="Arial"/>
          <w:color w:val="333333"/>
          <w:sz w:val="28"/>
          <w:szCs w:val="28"/>
          <w:shd w:val="clear" w:color="auto" w:fill="FFFFFF"/>
        </w:rPr>
        <w:t>Database</w:t>
      </w:r>
      <w:proofErr w:type="spellEnd"/>
      <w:r w:rsidRPr="00F564BC">
        <w:rPr>
          <w:rFonts w:ascii="Arial" w:hAnsi="Arial" w:cs="Arial"/>
          <w:color w:val="333333"/>
          <w:sz w:val="28"/>
          <w:szCs w:val="28"/>
          <w:shd w:val="clear" w:color="auto" w:fill="FFFFFF"/>
        </w:rPr>
        <w:t xml:space="preserve"> of </w:t>
      </w:r>
      <w:proofErr w:type="spellStart"/>
      <w:r w:rsidRPr="00F564BC">
        <w:rPr>
          <w:rFonts w:ascii="Arial" w:hAnsi="Arial" w:cs="Arial"/>
          <w:color w:val="333333"/>
          <w:sz w:val="28"/>
          <w:szCs w:val="28"/>
          <w:shd w:val="clear" w:color="auto" w:fill="FFFFFF"/>
        </w:rPr>
        <w:t>Systematic</w:t>
      </w:r>
      <w:proofErr w:type="spellEnd"/>
      <w:r w:rsidRPr="00F564BC">
        <w:rPr>
          <w:rFonts w:ascii="Arial" w:hAnsi="Arial" w:cs="Arial"/>
          <w:color w:val="333333"/>
          <w:sz w:val="28"/>
          <w:szCs w:val="28"/>
          <w:shd w:val="clear" w:color="auto" w:fill="FFFFFF"/>
        </w:rPr>
        <w:t xml:space="preserve"> </w:t>
      </w:r>
      <w:proofErr w:type="spellStart"/>
      <w:r w:rsidRPr="00F564BC">
        <w:rPr>
          <w:rFonts w:ascii="Arial" w:hAnsi="Arial" w:cs="Arial"/>
          <w:color w:val="333333"/>
          <w:sz w:val="28"/>
          <w:szCs w:val="28"/>
          <w:shd w:val="clear" w:color="auto" w:fill="FFFFFF"/>
        </w:rPr>
        <w:t>Reviews</w:t>
      </w:r>
      <w:proofErr w:type="spellEnd"/>
      <w:r w:rsidRPr="00F564BC">
        <w:rPr>
          <w:rFonts w:ascii="Arial" w:hAnsi="Arial" w:cs="Arial"/>
          <w:color w:val="333333"/>
          <w:sz w:val="28"/>
          <w:szCs w:val="28"/>
          <w:shd w:val="clear" w:color="auto" w:fill="FFFFFF"/>
        </w:rPr>
        <w:t xml:space="preserve">, en la que se extraen las conclusiones sobre los tratamientos que son eficaces y los que no, conforme a las pruebas aleatorias de que se disponga Modelo Mc Master Desarrollo del modelo Bases Filosóficas Al tratar de establecer un orden cronológico con los antecedentes de lo que hoy se conoce como Medicina Basada en la Evidencia, debemos diferenciar entre sus bases filosóficas, y su reciente desarrollo Los primeros registros que se tienen de la MBE son muy antiguos , durante el reinado del emperador </w:t>
      </w:r>
      <w:proofErr w:type="spellStart"/>
      <w:r w:rsidRPr="00F564BC">
        <w:rPr>
          <w:rFonts w:ascii="Arial" w:hAnsi="Arial" w:cs="Arial"/>
          <w:color w:val="333333"/>
          <w:sz w:val="28"/>
          <w:szCs w:val="28"/>
          <w:shd w:val="clear" w:color="auto" w:fill="FFFFFF"/>
        </w:rPr>
        <w:t>Qianlong</w:t>
      </w:r>
      <w:proofErr w:type="spellEnd"/>
      <w:r w:rsidRPr="00F564BC">
        <w:rPr>
          <w:rFonts w:ascii="Arial" w:hAnsi="Arial" w:cs="Arial"/>
          <w:color w:val="333333"/>
          <w:sz w:val="28"/>
          <w:szCs w:val="28"/>
          <w:shd w:val="clear" w:color="auto" w:fill="FFFFFF"/>
        </w:rPr>
        <w:t xml:space="preserve"> en China (siglo XVIII) se </w:t>
      </w:r>
      <w:proofErr w:type="spellStart"/>
      <w:r w:rsidRPr="00F564BC">
        <w:rPr>
          <w:rFonts w:ascii="Arial" w:hAnsi="Arial" w:cs="Arial"/>
          <w:color w:val="333333"/>
          <w:sz w:val="28"/>
          <w:szCs w:val="28"/>
          <w:shd w:val="clear" w:color="auto" w:fill="FFFFFF"/>
        </w:rPr>
        <w:t>desarrollo</w:t>
      </w:r>
      <w:proofErr w:type="spellEnd"/>
      <w:r w:rsidRPr="00F564BC">
        <w:rPr>
          <w:rFonts w:ascii="Arial" w:hAnsi="Arial" w:cs="Arial"/>
          <w:color w:val="333333"/>
          <w:sz w:val="28"/>
          <w:szCs w:val="28"/>
          <w:shd w:val="clear" w:color="auto" w:fill="FFFFFF"/>
        </w:rPr>
        <w:t xml:space="preserve"> una metodología para interpretar los textos antiguos de Confucio llamada </w:t>
      </w:r>
      <w:proofErr w:type="spellStart"/>
      <w:r w:rsidRPr="00F564BC">
        <w:rPr>
          <w:rFonts w:ascii="Arial" w:hAnsi="Arial" w:cs="Arial"/>
          <w:color w:val="333333"/>
          <w:sz w:val="28"/>
          <w:szCs w:val="28"/>
          <w:shd w:val="clear" w:color="auto" w:fill="FFFFFF"/>
        </w:rPr>
        <w:t>Kaozheng</w:t>
      </w:r>
      <w:proofErr w:type="spellEnd"/>
      <w:r w:rsidRPr="00F564BC">
        <w:rPr>
          <w:rFonts w:ascii="Arial" w:hAnsi="Arial" w:cs="Arial"/>
          <w:color w:val="333333"/>
          <w:sz w:val="28"/>
          <w:szCs w:val="28"/>
          <w:shd w:val="clear" w:color="auto" w:fill="FFFFFF"/>
        </w:rPr>
        <w:t xml:space="preserve"> que traducido significa practicando investigación con evidencia</w:t>
      </w:r>
      <w:r w:rsidRPr="00F564BC">
        <w:rPr>
          <w:rFonts w:ascii="Arial" w:hAnsi="Arial" w:cs="Arial"/>
          <w:color w:val="333333"/>
          <w:sz w:val="28"/>
          <w:szCs w:val="28"/>
        </w:rPr>
        <w:br/>
      </w:r>
      <w:r w:rsidRPr="00F564BC">
        <w:rPr>
          <w:rFonts w:ascii="Arial" w:hAnsi="Arial" w:cs="Arial"/>
          <w:color w:val="333333"/>
          <w:sz w:val="28"/>
          <w:szCs w:val="28"/>
          <w:shd w:val="clear" w:color="auto" w:fill="FFFFFF"/>
        </w:rPr>
        <w:t xml:space="preserve">1980, en la Facultad de Ciencias de la Salud de la Universidad de </w:t>
      </w:r>
      <w:proofErr w:type="spellStart"/>
      <w:r w:rsidRPr="00F564BC">
        <w:rPr>
          <w:rFonts w:ascii="Arial" w:hAnsi="Arial" w:cs="Arial"/>
          <w:color w:val="333333"/>
          <w:sz w:val="28"/>
          <w:szCs w:val="28"/>
          <w:shd w:val="clear" w:color="auto" w:fill="FFFFFF"/>
        </w:rPr>
        <w:t>McMaster</w:t>
      </w:r>
      <w:proofErr w:type="spellEnd"/>
      <w:r w:rsidRPr="00F564BC">
        <w:rPr>
          <w:rFonts w:ascii="Arial" w:hAnsi="Arial" w:cs="Arial"/>
          <w:color w:val="333333"/>
          <w:sz w:val="28"/>
          <w:szCs w:val="28"/>
          <w:shd w:val="clear" w:color="auto" w:fill="FFFFFF"/>
        </w:rPr>
        <w:t xml:space="preserve"> (Ontario, </w:t>
      </w:r>
      <w:proofErr w:type="spellStart"/>
      <w:r w:rsidRPr="00F564BC">
        <w:rPr>
          <w:rFonts w:ascii="Arial" w:hAnsi="Arial" w:cs="Arial"/>
          <w:color w:val="333333"/>
          <w:sz w:val="28"/>
          <w:szCs w:val="28"/>
          <w:shd w:val="clear" w:color="auto" w:fill="FFFFFF"/>
        </w:rPr>
        <w:t>Canada</w:t>
      </w:r>
      <w:proofErr w:type="spellEnd"/>
      <w:r w:rsidRPr="00F564BC">
        <w:rPr>
          <w:rFonts w:ascii="Arial" w:hAnsi="Arial" w:cs="Arial"/>
          <w:color w:val="333333"/>
          <w:sz w:val="28"/>
          <w:szCs w:val="28"/>
          <w:shd w:val="clear" w:color="auto" w:fill="FFFFFF"/>
        </w:rPr>
        <w:t>) se publicaron un conjunto de trabajos acerca de cómo analizar correctamente la bibliografía médica cuando se está al cuidado de paciente o se es responsable del mismo</w:t>
      </w:r>
      <w:r w:rsidRPr="00F564BC">
        <w:rPr>
          <w:rFonts w:ascii="Arial" w:hAnsi="Arial" w:cs="Arial"/>
          <w:color w:val="333333"/>
          <w:sz w:val="28"/>
          <w:szCs w:val="28"/>
        </w:rPr>
        <w:br/>
      </w:r>
      <w:r w:rsidRPr="00F564BC">
        <w:rPr>
          <w:rFonts w:ascii="Arial" w:hAnsi="Arial" w:cs="Arial"/>
          <w:color w:val="333333"/>
          <w:sz w:val="28"/>
          <w:szCs w:val="28"/>
          <w:shd w:val="clear" w:color="auto" w:fill="FFFFFF"/>
        </w:rPr>
        <w:t xml:space="preserve">En 1995, se inaugura en Oxford el Centro de Medicina Basada en la Evidencia dirigido por este investigador, así como la Cochrane </w:t>
      </w:r>
      <w:proofErr w:type="spellStart"/>
      <w:r w:rsidRPr="00F564BC">
        <w:rPr>
          <w:rFonts w:ascii="Arial" w:hAnsi="Arial" w:cs="Arial"/>
          <w:color w:val="333333"/>
          <w:sz w:val="28"/>
          <w:szCs w:val="28"/>
          <w:shd w:val="clear" w:color="auto" w:fill="FFFFFF"/>
        </w:rPr>
        <w:t>Database</w:t>
      </w:r>
      <w:proofErr w:type="spellEnd"/>
      <w:r w:rsidRPr="00F564BC">
        <w:rPr>
          <w:rFonts w:ascii="Arial" w:hAnsi="Arial" w:cs="Arial"/>
          <w:color w:val="333333"/>
          <w:sz w:val="28"/>
          <w:szCs w:val="28"/>
          <w:shd w:val="clear" w:color="auto" w:fill="FFFFFF"/>
        </w:rPr>
        <w:t xml:space="preserve"> of </w:t>
      </w:r>
      <w:proofErr w:type="spellStart"/>
      <w:r w:rsidRPr="00F564BC">
        <w:rPr>
          <w:rFonts w:ascii="Arial" w:hAnsi="Arial" w:cs="Arial"/>
          <w:color w:val="333333"/>
          <w:sz w:val="28"/>
          <w:szCs w:val="28"/>
          <w:shd w:val="clear" w:color="auto" w:fill="FFFFFF"/>
        </w:rPr>
        <w:t>Systematic</w:t>
      </w:r>
      <w:proofErr w:type="spellEnd"/>
      <w:r w:rsidRPr="00F564BC">
        <w:rPr>
          <w:rFonts w:ascii="Arial" w:hAnsi="Arial" w:cs="Arial"/>
          <w:color w:val="333333"/>
          <w:sz w:val="28"/>
          <w:szCs w:val="28"/>
          <w:shd w:val="clear" w:color="auto" w:fill="FFFFFF"/>
        </w:rPr>
        <w:t xml:space="preserve"> </w:t>
      </w:r>
      <w:proofErr w:type="spellStart"/>
      <w:r w:rsidRPr="00F564BC">
        <w:rPr>
          <w:rFonts w:ascii="Arial" w:hAnsi="Arial" w:cs="Arial"/>
          <w:color w:val="333333"/>
          <w:sz w:val="28"/>
          <w:szCs w:val="28"/>
          <w:shd w:val="clear" w:color="auto" w:fill="FFFFFF"/>
        </w:rPr>
        <w:t>Reviews</w:t>
      </w:r>
      <w:proofErr w:type="spellEnd"/>
      <w:r w:rsidRPr="00F564BC">
        <w:rPr>
          <w:rFonts w:ascii="Arial" w:hAnsi="Arial" w:cs="Arial"/>
          <w:color w:val="333333"/>
          <w:sz w:val="28"/>
          <w:szCs w:val="28"/>
          <w:shd w:val="clear" w:color="auto" w:fill="FFFFFF"/>
        </w:rPr>
        <w:t>, en la que se extraen las conclusiones sobre los tratamientos que son eficaces y los que no, conforme a las pruebas aleatorias de que se disponga Oxford la MBE crea una opción para todo aquel profesional de la Salud que desea obtener la integración de la mejor evidencia con la experiencia clínica y los valores del paciente.</w:t>
      </w:r>
    </w:p>
    <w:p w:rsidR="00F564BC" w:rsidRPr="00F564BC" w:rsidRDefault="00F564BC">
      <w:pPr>
        <w:rPr>
          <w:rFonts w:ascii="Arial" w:hAnsi="Arial" w:cs="Arial"/>
          <w:color w:val="333333"/>
          <w:sz w:val="28"/>
          <w:szCs w:val="28"/>
          <w:shd w:val="clear" w:color="auto" w:fill="FFFFFF"/>
        </w:rPr>
      </w:pPr>
    </w:p>
    <w:p w:rsidR="00E802A7" w:rsidRDefault="00E802A7" w:rsidP="00F564BC">
      <w:pPr>
        <w:jc w:val="both"/>
        <w:rPr>
          <w:rFonts w:ascii="Arial" w:hAnsi="Arial" w:cs="Arial"/>
          <w:sz w:val="28"/>
          <w:szCs w:val="28"/>
        </w:rPr>
      </w:pPr>
    </w:p>
    <w:p w:rsidR="00E802A7" w:rsidRDefault="00E802A7" w:rsidP="00F564BC">
      <w:pPr>
        <w:jc w:val="both"/>
        <w:rPr>
          <w:rFonts w:ascii="Arial" w:hAnsi="Arial" w:cs="Arial"/>
          <w:sz w:val="28"/>
          <w:szCs w:val="28"/>
        </w:rPr>
      </w:pPr>
    </w:p>
    <w:p w:rsidR="00F564BC" w:rsidRPr="00F564BC" w:rsidRDefault="00F564BC" w:rsidP="00F564BC">
      <w:pPr>
        <w:jc w:val="both"/>
        <w:rPr>
          <w:rFonts w:ascii="Arial" w:hAnsi="Arial" w:cs="Arial"/>
          <w:sz w:val="28"/>
          <w:szCs w:val="28"/>
        </w:rPr>
      </w:pPr>
      <w:r w:rsidRPr="00F564BC">
        <w:rPr>
          <w:rFonts w:ascii="Arial" w:hAnsi="Arial" w:cs="Arial"/>
          <w:sz w:val="28"/>
          <w:szCs w:val="28"/>
        </w:rPr>
        <w:lastRenderedPageBreak/>
        <w:t>TIPOS DE ESTUDIOS SON:</w:t>
      </w:r>
    </w:p>
    <w:p w:rsidR="00F564BC" w:rsidRPr="00F564BC" w:rsidRDefault="00F564BC" w:rsidP="00F564BC">
      <w:pPr>
        <w:jc w:val="both"/>
        <w:rPr>
          <w:rFonts w:ascii="Arial" w:hAnsi="Arial" w:cs="Arial"/>
          <w:sz w:val="28"/>
          <w:szCs w:val="28"/>
        </w:rPr>
      </w:pPr>
      <w:r w:rsidRPr="00F564BC">
        <w:rPr>
          <w:rFonts w:ascii="Arial" w:hAnsi="Arial" w:cs="Arial"/>
          <w:sz w:val="28"/>
          <w:szCs w:val="28"/>
        </w:rPr>
        <w:t xml:space="preserve"> </w:t>
      </w:r>
      <w:r w:rsidRPr="00F564BC">
        <w:rPr>
          <w:rFonts w:ascii="Arial" w:hAnsi="Arial" w:cs="Arial"/>
          <w:sz w:val="28"/>
          <w:szCs w:val="28"/>
        </w:rPr>
        <w:sym w:font="Symbol" w:char="F0B7"/>
      </w:r>
      <w:r w:rsidRPr="00F564BC">
        <w:rPr>
          <w:rFonts w:ascii="Arial" w:hAnsi="Arial" w:cs="Arial"/>
          <w:sz w:val="28"/>
          <w:szCs w:val="28"/>
        </w:rPr>
        <w:t xml:space="preserve"> Experimentales: se producen una manipulación de una exposición determinada de un grupo de individuos que se con otro grupo en el que no se intervino, o al que se expone a otra intervención. Si ha existido manipulación pero no aleatorización se habla de estudios Cuasi-experimentales. Clínicos, campos y comunitarios </w:t>
      </w:r>
    </w:p>
    <w:p w:rsidR="00F564BC" w:rsidRDefault="00F564BC" w:rsidP="00F564BC">
      <w:pPr>
        <w:jc w:val="both"/>
        <w:rPr>
          <w:rFonts w:ascii="Arial" w:hAnsi="Arial" w:cs="Arial"/>
          <w:sz w:val="28"/>
          <w:szCs w:val="28"/>
        </w:rPr>
      </w:pPr>
      <w:r w:rsidRPr="00F564BC">
        <w:rPr>
          <w:rFonts w:ascii="Arial" w:hAnsi="Arial" w:cs="Arial"/>
          <w:sz w:val="28"/>
          <w:szCs w:val="28"/>
        </w:rPr>
        <w:sym w:font="Symbol" w:char="F0B7"/>
      </w:r>
      <w:r w:rsidRPr="00F564BC">
        <w:rPr>
          <w:rFonts w:ascii="Arial" w:hAnsi="Arial" w:cs="Arial"/>
          <w:sz w:val="28"/>
          <w:szCs w:val="28"/>
        </w:rPr>
        <w:t xml:space="preserve"> No experimentales: Ecológicos, prevalencia, casos y controles y cohortes </w:t>
      </w:r>
    </w:p>
    <w:p w:rsidR="00F564BC" w:rsidRPr="00F564BC" w:rsidRDefault="00F564BC" w:rsidP="00F564BC">
      <w:pPr>
        <w:jc w:val="both"/>
        <w:rPr>
          <w:rFonts w:ascii="Arial" w:hAnsi="Arial" w:cs="Arial"/>
          <w:sz w:val="28"/>
          <w:szCs w:val="28"/>
        </w:rPr>
      </w:pPr>
      <w:r w:rsidRPr="00F564BC">
        <w:rPr>
          <w:rFonts w:ascii="Arial" w:hAnsi="Arial" w:cs="Arial"/>
          <w:sz w:val="28"/>
          <w:szCs w:val="28"/>
        </w:rPr>
        <w:sym w:font="Symbol" w:char="F0B7"/>
      </w:r>
      <w:r w:rsidRPr="00F564BC">
        <w:rPr>
          <w:rFonts w:ascii="Arial" w:hAnsi="Arial" w:cs="Arial"/>
          <w:sz w:val="28"/>
          <w:szCs w:val="28"/>
        </w:rPr>
        <w:t xml:space="preserve"> </w:t>
      </w:r>
      <w:proofErr w:type="gramStart"/>
      <w:r w:rsidRPr="00F564BC">
        <w:rPr>
          <w:rFonts w:ascii="Arial" w:hAnsi="Arial" w:cs="Arial"/>
          <w:sz w:val="28"/>
          <w:szCs w:val="28"/>
        </w:rPr>
        <w:t>Descriptivos :</w:t>
      </w:r>
      <w:proofErr w:type="gramEnd"/>
      <w:r w:rsidRPr="00F564BC">
        <w:rPr>
          <w:rFonts w:ascii="Arial" w:hAnsi="Arial" w:cs="Arial"/>
          <w:sz w:val="28"/>
          <w:szCs w:val="28"/>
        </w:rPr>
        <w:t xml:space="preserve"> poblaciones (estudios </w:t>
      </w:r>
      <w:r>
        <w:rPr>
          <w:rFonts w:ascii="Arial" w:hAnsi="Arial" w:cs="Arial"/>
          <w:sz w:val="28"/>
          <w:szCs w:val="28"/>
        </w:rPr>
        <w:t>ecológicos) y en individuos (a</w:t>
      </w:r>
      <w:r w:rsidRPr="00F564BC">
        <w:rPr>
          <w:rFonts w:ascii="Arial" w:hAnsi="Arial" w:cs="Arial"/>
          <w:sz w:val="28"/>
          <w:szCs w:val="28"/>
        </w:rPr>
        <w:t xml:space="preserve">propósito de un caso, series de casos y transversales/prevalencia) </w:t>
      </w:r>
    </w:p>
    <w:p w:rsidR="00F564BC" w:rsidRPr="00F564BC" w:rsidRDefault="00F564BC" w:rsidP="00F564BC">
      <w:pPr>
        <w:jc w:val="both"/>
        <w:rPr>
          <w:rFonts w:ascii="Arial" w:hAnsi="Arial" w:cs="Arial"/>
          <w:sz w:val="28"/>
          <w:szCs w:val="28"/>
        </w:rPr>
      </w:pPr>
      <w:r w:rsidRPr="00F564BC">
        <w:rPr>
          <w:rFonts w:ascii="Arial" w:hAnsi="Arial" w:cs="Arial"/>
          <w:sz w:val="28"/>
          <w:szCs w:val="28"/>
        </w:rPr>
        <w:sym w:font="Symbol" w:char="F0B7"/>
      </w:r>
      <w:r w:rsidRPr="00F564BC">
        <w:rPr>
          <w:rFonts w:ascii="Arial" w:hAnsi="Arial" w:cs="Arial"/>
          <w:sz w:val="28"/>
          <w:szCs w:val="28"/>
        </w:rPr>
        <w:t xml:space="preserve"> Analíticos: observacionales (casos y controles) y de intervención (clínico, campo y comunitario) </w:t>
      </w:r>
    </w:p>
    <w:p w:rsidR="00F564BC" w:rsidRDefault="00F564BC"/>
    <w:p w:rsidR="00E802A7" w:rsidRDefault="00E802A7"/>
    <w:p w:rsidR="00F564BC" w:rsidRPr="00F564BC" w:rsidRDefault="00F564BC">
      <w:r w:rsidRPr="00F564BC">
        <w:t>TIPOS DE SESGOS</w:t>
      </w: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r w:rsidRPr="00F564BC">
        <w:rPr>
          <w:rFonts w:ascii="Arial" w:eastAsia="Times New Roman" w:hAnsi="Arial" w:cs="Arial"/>
          <w:b/>
          <w:sz w:val="28"/>
          <w:szCs w:val="28"/>
          <w:lang w:eastAsia="es-MX"/>
        </w:rPr>
        <w:t>Sesgo de selección:</w:t>
      </w:r>
      <w:r w:rsidRPr="00F564BC">
        <w:rPr>
          <w:rFonts w:ascii="Arial" w:eastAsia="Times New Roman" w:hAnsi="Arial" w:cs="Arial"/>
          <w:sz w:val="28"/>
          <w:szCs w:val="28"/>
          <w:lang w:eastAsia="es-MX"/>
        </w:rPr>
        <w:t xml:space="preserve"> Grupos no comparables debido a cómo se eligieron los pacientes o sujetos</w:t>
      </w:r>
    </w:p>
    <w:p w:rsidR="00F564BC" w:rsidRPr="00E802A7" w:rsidRDefault="00F564BC" w:rsidP="00F564BC">
      <w:pPr>
        <w:shd w:val="clear" w:color="auto" w:fill="F7F0E9"/>
        <w:spacing w:after="0" w:line="240" w:lineRule="auto"/>
        <w:rPr>
          <w:rFonts w:ascii="Arial" w:eastAsia="Times New Roman" w:hAnsi="Arial" w:cs="Arial"/>
          <w:b/>
          <w:sz w:val="28"/>
          <w:szCs w:val="28"/>
          <w:lang w:eastAsia="es-MX"/>
        </w:rPr>
      </w:pP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r w:rsidRPr="00F564BC">
        <w:rPr>
          <w:rFonts w:ascii="Arial" w:eastAsia="Times New Roman" w:hAnsi="Arial" w:cs="Arial"/>
          <w:b/>
          <w:sz w:val="28"/>
          <w:szCs w:val="28"/>
          <w:lang w:eastAsia="es-MX"/>
        </w:rPr>
        <w:t>.Sesgo de Información</w:t>
      </w:r>
      <w:r w:rsidRPr="00F564BC">
        <w:rPr>
          <w:rFonts w:ascii="Arial" w:eastAsia="Times New Roman" w:hAnsi="Arial" w:cs="Arial"/>
          <w:sz w:val="28"/>
          <w:szCs w:val="28"/>
          <w:lang w:eastAsia="es-MX"/>
        </w:rPr>
        <w:t>: Grupos no comparables debido a cómo se obtuvieron los datos.</w:t>
      </w: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r w:rsidRPr="00F564BC">
        <w:rPr>
          <w:rFonts w:ascii="Arial" w:eastAsia="Times New Roman" w:hAnsi="Arial" w:cs="Arial"/>
          <w:b/>
          <w:sz w:val="28"/>
          <w:szCs w:val="28"/>
          <w:lang w:eastAsia="es-MX"/>
        </w:rPr>
        <w:t>Sesgo de confusión:</w:t>
      </w:r>
      <w:r w:rsidRPr="00F564BC">
        <w:rPr>
          <w:rFonts w:ascii="Arial" w:eastAsia="Times New Roman" w:hAnsi="Arial" w:cs="Arial"/>
          <w:sz w:val="28"/>
          <w:szCs w:val="28"/>
          <w:lang w:eastAsia="es-MX"/>
        </w:rPr>
        <w:t xml:space="preserve"> Existe una mezcla de efectos debido a una tercera variable (</w:t>
      </w:r>
      <w:hyperlink r:id="rId5" w:tooltip="Variable de confusión" w:history="1">
        <w:r w:rsidRPr="00E802A7">
          <w:rPr>
            <w:rFonts w:ascii="Arial" w:eastAsia="Times New Roman" w:hAnsi="Arial" w:cs="Arial"/>
            <w:bCs/>
            <w:sz w:val="28"/>
            <w:szCs w:val="28"/>
            <w:u w:val="single"/>
            <w:lang w:eastAsia="es-MX"/>
          </w:rPr>
          <w:t xml:space="preserve">variable </w:t>
        </w:r>
        <w:proofErr w:type="spellStart"/>
        <w:r w:rsidRPr="00E802A7">
          <w:rPr>
            <w:rFonts w:ascii="Arial" w:eastAsia="Times New Roman" w:hAnsi="Arial" w:cs="Arial"/>
            <w:bCs/>
            <w:sz w:val="28"/>
            <w:szCs w:val="28"/>
            <w:u w:val="single"/>
            <w:lang w:eastAsia="es-MX"/>
          </w:rPr>
          <w:t>de</w:t>
        </w:r>
      </w:hyperlink>
      <w:proofErr w:type="spellEnd"/>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hyperlink r:id="rId6" w:tooltip="Sesgo retrospectivo" w:history="1">
        <w:r w:rsidRPr="00E802A7">
          <w:rPr>
            <w:rFonts w:ascii="Arial" w:eastAsia="Times New Roman" w:hAnsi="Arial" w:cs="Arial"/>
            <w:bCs/>
            <w:sz w:val="28"/>
            <w:szCs w:val="28"/>
            <w:u w:val="single"/>
            <w:lang w:eastAsia="es-MX"/>
          </w:rPr>
          <w:t>Sesgo retrospectivo</w:t>
        </w:r>
      </w:hyperlink>
      <w:r w:rsidRPr="00E802A7">
        <w:rPr>
          <w:rFonts w:ascii="Arial" w:eastAsia="Times New Roman" w:hAnsi="Arial" w:cs="Arial"/>
          <w:sz w:val="28"/>
          <w:szCs w:val="28"/>
          <w:lang w:eastAsia="es-MX"/>
        </w:rPr>
        <w:t> </w:t>
      </w:r>
    </w:p>
    <w:p w:rsidR="00F564BC" w:rsidRPr="00E802A7" w:rsidRDefault="00E802A7" w:rsidP="00F564BC">
      <w:pPr>
        <w:shd w:val="clear" w:color="auto" w:fill="F7F0E9"/>
        <w:spacing w:after="0" w:line="240" w:lineRule="auto"/>
        <w:rPr>
          <w:rFonts w:ascii="Arial" w:eastAsia="Times New Roman" w:hAnsi="Arial" w:cs="Arial"/>
          <w:sz w:val="28"/>
          <w:szCs w:val="28"/>
          <w:lang w:eastAsia="es-MX"/>
        </w:rPr>
      </w:pPr>
      <w:proofErr w:type="gramStart"/>
      <w:r w:rsidRPr="00E802A7">
        <w:rPr>
          <w:rFonts w:ascii="Arial" w:eastAsia="Times New Roman" w:hAnsi="Arial" w:cs="Arial"/>
          <w:b/>
          <w:sz w:val="28"/>
          <w:szCs w:val="28"/>
          <w:lang w:eastAsia="es-MX"/>
        </w:rPr>
        <w:t>sesgo</w:t>
      </w:r>
      <w:proofErr w:type="gramEnd"/>
      <w:r w:rsidRPr="00E802A7">
        <w:rPr>
          <w:rFonts w:ascii="Arial" w:eastAsia="Times New Roman" w:hAnsi="Arial" w:cs="Arial"/>
          <w:b/>
          <w:sz w:val="28"/>
          <w:szCs w:val="28"/>
          <w:lang w:eastAsia="es-MX"/>
        </w:rPr>
        <w:t xml:space="preserve"> de a posterior</w:t>
      </w:r>
      <w:r w:rsidR="00F564BC" w:rsidRPr="00F564BC">
        <w:rPr>
          <w:rFonts w:ascii="Arial" w:eastAsia="Times New Roman" w:hAnsi="Arial" w:cs="Arial"/>
          <w:sz w:val="28"/>
          <w:szCs w:val="28"/>
          <w:lang w:eastAsia="es-MX"/>
        </w:rPr>
        <w:t>: es la inclinación a ver los eventos pretéritos como predecibles.</w:t>
      </w: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hyperlink r:id="rId7" w:tooltip="Sesgo de correspondencia" w:history="1">
        <w:r w:rsidRPr="00E802A7">
          <w:rPr>
            <w:rFonts w:ascii="Arial" w:eastAsia="Times New Roman" w:hAnsi="Arial" w:cs="Arial"/>
            <w:b/>
            <w:bCs/>
            <w:sz w:val="28"/>
            <w:szCs w:val="28"/>
            <w:u w:val="single"/>
            <w:lang w:eastAsia="es-MX"/>
          </w:rPr>
          <w:t>Sesgo de correspondencia</w:t>
        </w:r>
      </w:hyperlink>
      <w:r w:rsidRPr="00F564BC">
        <w:rPr>
          <w:rFonts w:ascii="Arial" w:eastAsia="Times New Roman" w:hAnsi="Arial" w:cs="Arial"/>
          <w:sz w:val="28"/>
          <w:szCs w:val="28"/>
          <w:lang w:eastAsia="es-MX"/>
        </w:rPr>
        <w:t>, denominado también error de atribución: es la tendencia de hacer excesivo énfasis las explicaciones fundamentadas, comportamientos o experiencias personales de otras personas.</w:t>
      </w:r>
    </w:p>
    <w:p w:rsidR="00F564BC" w:rsidRPr="00E802A7" w:rsidRDefault="00F564BC" w:rsidP="00F564BC">
      <w:pPr>
        <w:shd w:val="clear" w:color="auto" w:fill="F7F0E9"/>
        <w:spacing w:after="0" w:line="240" w:lineRule="auto"/>
        <w:rPr>
          <w:rFonts w:ascii="Arial" w:eastAsia="Times New Roman" w:hAnsi="Arial" w:cs="Arial"/>
          <w:sz w:val="28"/>
          <w:szCs w:val="28"/>
          <w:lang w:eastAsia="es-MX"/>
        </w:rPr>
      </w:pPr>
      <w:hyperlink r:id="rId8" w:tooltip="Sesgo de confirmación" w:history="1">
        <w:r w:rsidRPr="00E802A7">
          <w:rPr>
            <w:rFonts w:ascii="Arial" w:eastAsia="Times New Roman" w:hAnsi="Arial" w:cs="Arial"/>
            <w:b/>
            <w:bCs/>
            <w:sz w:val="28"/>
            <w:szCs w:val="28"/>
            <w:u w:val="single"/>
            <w:lang w:eastAsia="es-MX"/>
          </w:rPr>
          <w:t>Sesgo de confirmación</w:t>
        </w:r>
      </w:hyperlink>
      <w:r w:rsidRPr="00F564BC">
        <w:rPr>
          <w:rFonts w:ascii="Arial" w:eastAsia="Times New Roman" w:hAnsi="Arial" w:cs="Arial"/>
          <w:sz w:val="28"/>
          <w:szCs w:val="28"/>
          <w:lang w:eastAsia="es-MX"/>
        </w:rPr>
        <w:t>: es la tendencia a investigar o interpretar información que confirma preconcepciones</w:t>
      </w:r>
    </w:p>
    <w:p w:rsidR="00F564BC" w:rsidRPr="00F564BC" w:rsidRDefault="00F564BC" w:rsidP="00F564BC">
      <w:pPr>
        <w:shd w:val="clear" w:color="auto" w:fill="F7F0E9"/>
        <w:spacing w:after="0" w:line="240" w:lineRule="auto"/>
        <w:rPr>
          <w:rFonts w:ascii="Arial" w:eastAsia="Times New Roman" w:hAnsi="Arial" w:cs="Arial"/>
          <w:sz w:val="28"/>
          <w:szCs w:val="28"/>
          <w:lang w:eastAsia="es-MX"/>
        </w:rPr>
      </w:pPr>
      <w:hyperlink r:id="rId9" w:tooltip="Sesgo de autoservicio" w:history="1">
        <w:r w:rsidRPr="00E802A7">
          <w:rPr>
            <w:rFonts w:ascii="Arial" w:eastAsia="Times New Roman" w:hAnsi="Arial" w:cs="Arial"/>
            <w:b/>
            <w:bCs/>
            <w:sz w:val="28"/>
            <w:szCs w:val="28"/>
            <w:u w:val="single"/>
            <w:lang w:eastAsia="es-MX"/>
          </w:rPr>
          <w:t>Sesgo de autoservicio</w:t>
        </w:r>
      </w:hyperlink>
      <w:r w:rsidRPr="00F564BC">
        <w:rPr>
          <w:rFonts w:ascii="Arial" w:eastAsia="Times New Roman" w:hAnsi="Arial" w:cs="Arial"/>
          <w:sz w:val="28"/>
          <w:szCs w:val="28"/>
          <w:lang w:eastAsia="es-MX"/>
        </w:rPr>
        <w:t>: es la tendencia a reclamar más responsabilidad para los éxitos que por los fallos. Se muestra también cuando la gente tiende a interpretar como beneficiosa para sus propósitos información ambigua.</w:t>
      </w:r>
    </w:p>
    <w:p w:rsidR="00F564BC" w:rsidRDefault="00F564BC"/>
    <w:p w:rsidR="00F564BC" w:rsidRDefault="00F564BC">
      <w:bookmarkStart w:id="0" w:name="_GoBack"/>
      <w:bookmarkEnd w:id="0"/>
    </w:p>
    <w:p w:rsidR="00F564BC" w:rsidRDefault="00F564BC">
      <w:r>
        <w:t>BIBLIOGRAFIAS</w:t>
      </w:r>
    </w:p>
    <w:p w:rsidR="00F564BC" w:rsidRDefault="00F564BC">
      <w:proofErr w:type="spellStart"/>
      <w:r>
        <w:t>Guyatt</w:t>
      </w:r>
      <w:proofErr w:type="spellEnd"/>
      <w:r>
        <w:t xml:space="preserve"> GH. </w:t>
      </w:r>
      <w:proofErr w:type="spellStart"/>
      <w:r>
        <w:t>Practitioners</w:t>
      </w:r>
      <w:proofErr w:type="spellEnd"/>
      <w:r>
        <w:t xml:space="preserve"> of </w:t>
      </w:r>
      <w:proofErr w:type="spellStart"/>
      <w:r>
        <w:t>evidence</w:t>
      </w:r>
      <w:proofErr w:type="spellEnd"/>
      <w:r>
        <w:t xml:space="preserve"> </w:t>
      </w:r>
      <w:proofErr w:type="spellStart"/>
      <w:r>
        <w:t>based</w:t>
      </w:r>
      <w:proofErr w:type="spellEnd"/>
      <w:r>
        <w:t xml:space="preserve"> </w:t>
      </w:r>
      <w:proofErr w:type="spellStart"/>
      <w:r>
        <w:t>care</w:t>
      </w:r>
      <w:proofErr w:type="spellEnd"/>
      <w:r>
        <w:t xml:space="preserve">. </w:t>
      </w:r>
      <w:proofErr w:type="spellStart"/>
      <w:r>
        <w:t>Editorials</w:t>
      </w:r>
      <w:proofErr w:type="spellEnd"/>
      <w:r>
        <w:t>. BMJ. 2000</w:t>
      </w:r>
      <w:proofErr w:type="gramStart"/>
      <w:r>
        <w:t>;320:954</w:t>
      </w:r>
      <w:proofErr w:type="gramEnd"/>
      <w:r>
        <w:t>-5. 22. Gracia D. Medicina basada en la evidencia: aspectos éticos. Bioética. 2000</w:t>
      </w:r>
      <w:proofErr w:type="gramStart"/>
      <w:r>
        <w:t>;8:1</w:t>
      </w:r>
      <w:proofErr w:type="gramEnd"/>
      <w:r>
        <w:t xml:space="preserve">. </w:t>
      </w:r>
    </w:p>
    <w:p w:rsidR="00F564BC" w:rsidRDefault="00F564BC">
      <w:proofErr w:type="spellStart"/>
      <w:r>
        <w:t>Zuferri</w:t>
      </w:r>
      <w:proofErr w:type="spellEnd"/>
      <w:r>
        <w:t xml:space="preserve"> E, </w:t>
      </w:r>
      <w:proofErr w:type="spellStart"/>
      <w:r>
        <w:t>Cué</w:t>
      </w:r>
      <w:proofErr w:type="spellEnd"/>
      <w:r>
        <w:t xml:space="preserve"> M. ¿La "medicina basada en la evidencia" disminuye el papel del médico? </w:t>
      </w:r>
      <w:proofErr w:type="spellStart"/>
      <w:r>
        <w:t>Farmacodivulgación</w:t>
      </w:r>
      <w:proofErr w:type="spellEnd"/>
      <w:r>
        <w:t xml:space="preserve">. </w:t>
      </w:r>
      <w:proofErr w:type="spellStart"/>
      <w:r>
        <w:t>Rev</w:t>
      </w:r>
      <w:proofErr w:type="spellEnd"/>
      <w:r>
        <w:t xml:space="preserve"> Cubana Farm. [Seriada en Internet] 2007</w:t>
      </w:r>
      <w:proofErr w:type="gramStart"/>
      <w:r>
        <w:t>;41</w:t>
      </w:r>
      <w:proofErr w:type="gramEnd"/>
      <w:r>
        <w:t xml:space="preserve">(2). Disponible en: http://www.bvs.sld.cu/revistas/far/vol41_2_07/far13207.html </w:t>
      </w:r>
    </w:p>
    <w:p w:rsidR="00F564BC" w:rsidRDefault="00F564BC">
      <w:r>
        <w:t xml:space="preserve"> Hernández V. Amenazas, debilidades y limitaciones de la cirugía basada en la evidencia. Acta </w:t>
      </w:r>
      <w:proofErr w:type="spellStart"/>
      <w:r>
        <w:t>Méd</w:t>
      </w:r>
      <w:proofErr w:type="spellEnd"/>
      <w:r>
        <w:t>. Peruana. [Seriada en Internet]. 2007</w:t>
      </w:r>
      <w:proofErr w:type="gramStart"/>
      <w:r>
        <w:t>;24</w:t>
      </w:r>
      <w:proofErr w:type="gramEnd"/>
      <w:r>
        <w:t>(2). Disponible en: http://www.scielo.org.pe/scielo.php?pid=S1728-59172007000200011&amp;script=sci_arttext</w:t>
      </w:r>
    </w:p>
    <w:sectPr w:rsidR="00F564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C"/>
    <w:rsid w:val="001A69EA"/>
    <w:rsid w:val="00E802A7"/>
    <w:rsid w:val="00F56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564B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64B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F564BC"/>
    <w:rPr>
      <w:color w:val="0000FF"/>
      <w:u w:val="single"/>
    </w:rPr>
  </w:style>
  <w:style w:type="character" w:customStyle="1" w:styleId="apple-converted-space">
    <w:name w:val="apple-converted-space"/>
    <w:basedOn w:val="Fuentedeprrafopredeter"/>
    <w:rsid w:val="00F5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564B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64B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F564BC"/>
    <w:rPr>
      <w:color w:val="0000FF"/>
      <w:u w:val="single"/>
    </w:rPr>
  </w:style>
  <w:style w:type="character" w:customStyle="1" w:styleId="apple-converted-space">
    <w:name w:val="apple-converted-space"/>
    <w:basedOn w:val="Fuentedeprrafopredeter"/>
    <w:rsid w:val="00F5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5985">
      <w:bodyDiv w:val="1"/>
      <w:marLeft w:val="0"/>
      <w:marRight w:val="0"/>
      <w:marTop w:val="0"/>
      <w:marBottom w:val="0"/>
      <w:divBdr>
        <w:top w:val="none" w:sz="0" w:space="0" w:color="auto"/>
        <w:left w:val="none" w:sz="0" w:space="0" w:color="auto"/>
        <w:bottom w:val="none" w:sz="0" w:space="0" w:color="auto"/>
        <w:right w:val="none" w:sz="0" w:space="0" w:color="auto"/>
      </w:divBdr>
    </w:div>
    <w:div w:id="1398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sgo_de_confirmaci%C3%B3n" TargetMode="External"/><Relationship Id="rId3" Type="http://schemas.openxmlformats.org/officeDocument/2006/relationships/settings" Target="settings.xml"/><Relationship Id="rId7" Type="http://schemas.openxmlformats.org/officeDocument/2006/relationships/hyperlink" Target="http://es.wikipedia.org/wiki/Sesgo_de_correspondenc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Sesgo_retrospectivo" TargetMode="External"/><Relationship Id="rId11" Type="http://schemas.openxmlformats.org/officeDocument/2006/relationships/theme" Target="theme/theme1.xml"/><Relationship Id="rId5" Type="http://schemas.openxmlformats.org/officeDocument/2006/relationships/hyperlink" Target="http://es.wikipedia.org/wiki/Variable_de_confusi%C3%B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Sesgo_de_autoserv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rafael gongora rubio</dc:creator>
  <cp:lastModifiedBy>roberto rafael gongora rubio</cp:lastModifiedBy>
  <cp:revision>1</cp:revision>
  <dcterms:created xsi:type="dcterms:W3CDTF">2017-01-23T20:02:00Z</dcterms:created>
  <dcterms:modified xsi:type="dcterms:W3CDTF">2017-01-23T20:37:00Z</dcterms:modified>
</cp:coreProperties>
</file>