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1" w:rsidRDefault="00DA5A61" w:rsidP="00DA5A6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Agosto del 2016</w:t>
      </w:r>
    </w:p>
    <w:p w:rsidR="00DA5A61" w:rsidRDefault="00DA5A61" w:rsidP="00DA5A61">
      <w:pPr>
        <w:jc w:val="right"/>
        <w:rPr>
          <w:rFonts w:ascii="Arial" w:hAnsi="Arial" w:cs="Arial"/>
          <w:sz w:val="24"/>
          <w:szCs w:val="24"/>
        </w:rPr>
      </w:pPr>
    </w:p>
    <w:p w:rsidR="00DA5A61" w:rsidRDefault="00DA5A61" w:rsidP="00DA5A6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9B1227E" wp14:editId="1B854100">
            <wp:extent cx="5010978" cy="1571625"/>
            <wp:effectExtent l="0" t="0" r="0" b="0"/>
            <wp:docPr id="1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7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61" w:rsidRDefault="00DA5A61" w:rsidP="00DA5A61">
      <w:pPr>
        <w:jc w:val="center"/>
        <w:rPr>
          <w:rFonts w:ascii="Arial" w:hAnsi="Arial" w:cs="Arial"/>
          <w:sz w:val="24"/>
          <w:szCs w:val="24"/>
        </w:rPr>
      </w:pP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Actividad preliminar: “Conceptos de epidemiologia clínica</w:t>
      </w:r>
      <w:r>
        <w:rPr>
          <w:rFonts w:ascii="Arial" w:hAnsi="Arial" w:cs="Arial"/>
          <w:sz w:val="40"/>
          <w:szCs w:val="40"/>
        </w:rPr>
        <w:t>”</w:t>
      </w: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Medicina basada en evidencias</w:t>
      </w: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Alumno: Luis Enrique Ulloa Jiménez</w:t>
      </w: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8°A</w:t>
      </w:r>
    </w:p>
    <w:p w:rsidR="00DA5A61" w:rsidRDefault="00DA5A61" w:rsidP="00DA5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Medicina</w:t>
      </w:r>
    </w:p>
    <w:p w:rsidR="00DA5A61" w:rsidRDefault="00DA5A61" w:rsidP="00DA5A61">
      <w:pPr>
        <w:jc w:val="both"/>
        <w:rPr>
          <w:rFonts w:ascii="Arial" w:hAnsi="Arial" w:cs="Arial"/>
          <w:sz w:val="40"/>
          <w:szCs w:val="40"/>
        </w:rPr>
      </w:pPr>
    </w:p>
    <w:p w:rsidR="00DA5A61" w:rsidRDefault="00DA5A61" w:rsidP="00DA5A6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DA5A61" w:rsidRPr="00DA5A61" w:rsidRDefault="00DA5A61" w:rsidP="00DA5A61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</w:rPr>
      </w:pPr>
      <w:r w:rsidRPr="00DA5A61">
        <w:rPr>
          <w:rFonts w:ascii="Arial" w:hAnsi="Arial" w:cs="Arial"/>
          <w:b/>
          <w:color w:val="000000"/>
        </w:rPr>
        <w:lastRenderedPageBreak/>
        <w:t>Historia de medicina basada en evidencias</w:t>
      </w:r>
    </w:p>
    <w:p w:rsidR="00DA5A61" w:rsidRDefault="00DA5A61" w:rsidP="00DA5A6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DA5A61">
        <w:rPr>
          <w:rFonts w:ascii="Arial" w:hAnsi="Arial" w:cs="Arial"/>
          <w:color w:val="000000"/>
        </w:rPr>
        <w:t>E</w:t>
      </w:r>
      <w:r w:rsidRPr="00DA5A61">
        <w:rPr>
          <w:rFonts w:ascii="Arial" w:hAnsi="Arial" w:cs="Arial"/>
          <w:color w:val="000000"/>
        </w:rPr>
        <w:t xml:space="preserve">n 1753 </w:t>
      </w:r>
      <w:proofErr w:type="spellStart"/>
      <w:r w:rsidRPr="00DA5A61">
        <w:rPr>
          <w:rFonts w:ascii="Arial" w:hAnsi="Arial" w:cs="Arial"/>
          <w:color w:val="000000"/>
        </w:rPr>
        <w:t>Lind</w:t>
      </w:r>
      <w:proofErr w:type="spellEnd"/>
      <w:r w:rsidRPr="00DA5A61">
        <w:rPr>
          <w:rFonts w:ascii="Arial" w:hAnsi="Arial" w:cs="Arial"/>
          <w:color w:val="000000"/>
        </w:rPr>
        <w:t xml:space="preserve"> demostró el beneficio de comer naranjas y limones para curar el escorbuto, en un estudio clínico de 12 pacientes. La investigación clínica se desarrollaba lentamente, hasta dos siglos después en que apareció, en 1952, en el</w:t>
      </w:r>
      <w:r w:rsidRPr="00DA5A61">
        <w:rPr>
          <w:rStyle w:val="apple-converted-space"/>
          <w:rFonts w:ascii="Arial" w:hAnsi="Arial" w:cs="Arial"/>
          <w:color w:val="000000"/>
        </w:rPr>
        <w:t> </w:t>
      </w:r>
      <w:r w:rsidRPr="00DA5A61">
        <w:rPr>
          <w:rFonts w:ascii="Arial" w:hAnsi="Arial" w:cs="Arial"/>
          <w:i/>
          <w:iCs/>
          <w:color w:val="000000"/>
        </w:rPr>
        <w:t xml:space="preserve">British Medical </w:t>
      </w:r>
      <w:proofErr w:type="spellStart"/>
      <w:r w:rsidRPr="00DA5A61">
        <w:rPr>
          <w:rFonts w:ascii="Arial" w:hAnsi="Arial" w:cs="Arial"/>
          <w:i/>
          <w:iCs/>
          <w:color w:val="000000"/>
        </w:rPr>
        <w:t>Journal</w:t>
      </w:r>
      <w:proofErr w:type="spellEnd"/>
      <w:r w:rsidRPr="00DA5A61">
        <w:rPr>
          <w:rFonts w:ascii="Arial" w:hAnsi="Arial" w:cs="Arial"/>
          <w:i/>
          <w:iCs/>
          <w:color w:val="000000"/>
        </w:rPr>
        <w:t>,</w:t>
      </w:r>
      <w:r w:rsidRPr="00DA5A61">
        <w:rPr>
          <w:rStyle w:val="apple-converted-space"/>
          <w:rFonts w:ascii="Arial" w:hAnsi="Arial" w:cs="Arial"/>
          <w:color w:val="000000"/>
        </w:rPr>
        <w:t> </w:t>
      </w:r>
      <w:r w:rsidRPr="00DA5A61">
        <w:rPr>
          <w:rFonts w:ascii="Arial" w:hAnsi="Arial" w:cs="Arial"/>
          <w:color w:val="000000"/>
        </w:rPr>
        <w:t xml:space="preserve">el primer ensayo clínico </w:t>
      </w:r>
      <w:proofErr w:type="spellStart"/>
      <w:r w:rsidRPr="00DA5A61">
        <w:rPr>
          <w:rFonts w:ascii="Arial" w:hAnsi="Arial" w:cs="Arial"/>
          <w:color w:val="000000"/>
        </w:rPr>
        <w:t>randomizado</w:t>
      </w:r>
      <w:proofErr w:type="spellEnd"/>
      <w:r w:rsidRPr="00DA5A61">
        <w:rPr>
          <w:rFonts w:ascii="Arial" w:hAnsi="Arial" w:cs="Arial"/>
          <w:color w:val="000000"/>
        </w:rPr>
        <w:t>. Desde entonces la investigación clínica mantiene un crecimiento</w:t>
      </w:r>
      <w:r>
        <w:rPr>
          <w:rFonts w:ascii="Arial" w:hAnsi="Arial" w:cs="Arial"/>
          <w:color w:val="000000"/>
        </w:rPr>
        <w:t xml:space="preserve"> permanente.</w:t>
      </w:r>
    </w:p>
    <w:p w:rsidR="00122CE2" w:rsidRPr="00122CE2" w:rsidRDefault="00DA5A61" w:rsidP="00122CE2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vertAlign w:val="superscript"/>
        </w:rPr>
      </w:pPr>
      <w:r w:rsidRPr="00DA5A61">
        <w:rPr>
          <w:rFonts w:ascii="Arial" w:hAnsi="Arial" w:cs="Arial"/>
          <w:color w:val="000000"/>
        </w:rPr>
        <w:t xml:space="preserve">A fines de los 70 varios epidemiólogos clínicos, entre los que destacan D. </w:t>
      </w:r>
      <w:proofErr w:type="spellStart"/>
      <w:r w:rsidRPr="00DA5A61">
        <w:rPr>
          <w:rFonts w:ascii="Arial" w:hAnsi="Arial" w:cs="Arial"/>
          <w:color w:val="000000"/>
        </w:rPr>
        <w:t>Sackett</w:t>
      </w:r>
      <w:proofErr w:type="spellEnd"/>
      <w:r w:rsidRPr="00DA5A61">
        <w:rPr>
          <w:rFonts w:ascii="Arial" w:hAnsi="Arial" w:cs="Arial"/>
          <w:color w:val="000000"/>
        </w:rPr>
        <w:t xml:space="preserve">, B. </w:t>
      </w:r>
      <w:proofErr w:type="spellStart"/>
      <w:r w:rsidRPr="00DA5A61">
        <w:rPr>
          <w:rFonts w:ascii="Arial" w:hAnsi="Arial" w:cs="Arial"/>
          <w:color w:val="000000"/>
        </w:rPr>
        <w:t>Haynes</w:t>
      </w:r>
      <w:proofErr w:type="spellEnd"/>
      <w:r w:rsidRPr="00DA5A61">
        <w:rPr>
          <w:rFonts w:ascii="Arial" w:hAnsi="Arial" w:cs="Arial"/>
          <w:color w:val="000000"/>
        </w:rPr>
        <w:t xml:space="preserve"> y P. </w:t>
      </w:r>
      <w:proofErr w:type="spellStart"/>
      <w:r w:rsidRPr="00DA5A61">
        <w:rPr>
          <w:rFonts w:ascii="Arial" w:hAnsi="Arial" w:cs="Arial"/>
          <w:color w:val="000000"/>
        </w:rPr>
        <w:t>Tugwell</w:t>
      </w:r>
      <w:proofErr w:type="spellEnd"/>
      <w:r w:rsidRPr="00DA5A61">
        <w:rPr>
          <w:rFonts w:ascii="Arial" w:hAnsi="Arial" w:cs="Arial"/>
          <w:color w:val="000000"/>
        </w:rPr>
        <w:t>, se esforzaban por integrar la investigación clínica a la toma de decisiones para los pacientes. En la década del 80 aparecieron en el</w:t>
      </w:r>
      <w:r w:rsidRPr="00DA5A61">
        <w:rPr>
          <w:rStyle w:val="apple-converted-space"/>
          <w:rFonts w:ascii="Arial" w:hAnsi="Arial" w:cs="Arial"/>
          <w:color w:val="000000"/>
        </w:rPr>
        <w:t> </w:t>
      </w:r>
      <w:r w:rsidRPr="00DA5A61">
        <w:rPr>
          <w:rFonts w:ascii="Arial" w:hAnsi="Arial" w:cs="Arial"/>
          <w:i/>
          <w:iCs/>
          <w:color w:val="000000"/>
        </w:rPr>
        <w:t xml:space="preserve">Canadian Medical </w:t>
      </w:r>
      <w:proofErr w:type="spellStart"/>
      <w:r w:rsidRPr="00DA5A61">
        <w:rPr>
          <w:rFonts w:ascii="Arial" w:hAnsi="Arial" w:cs="Arial"/>
          <w:i/>
          <w:iCs/>
          <w:color w:val="000000"/>
        </w:rPr>
        <w:t>Association</w:t>
      </w:r>
      <w:proofErr w:type="spellEnd"/>
      <w:r w:rsidRPr="00DA5A6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A5A61">
        <w:rPr>
          <w:rFonts w:ascii="Arial" w:hAnsi="Arial" w:cs="Arial"/>
          <w:i/>
          <w:iCs/>
          <w:color w:val="000000"/>
        </w:rPr>
        <w:t>Journal</w:t>
      </w:r>
      <w:proofErr w:type="spellEnd"/>
      <w:r w:rsidRPr="00DA5A61">
        <w:rPr>
          <w:rStyle w:val="apple-converted-space"/>
          <w:rFonts w:ascii="Arial" w:hAnsi="Arial" w:cs="Arial"/>
          <w:color w:val="000000"/>
        </w:rPr>
        <w:t> </w:t>
      </w:r>
      <w:r w:rsidRPr="00DA5A61">
        <w:rPr>
          <w:rFonts w:ascii="Arial" w:hAnsi="Arial" w:cs="Arial"/>
          <w:color w:val="000000"/>
        </w:rPr>
        <w:t xml:space="preserve">las primeras publicaciones orientadas a revisar críticamente estudios publicados en revistas médicas. En 1990, G. </w:t>
      </w:r>
      <w:proofErr w:type="spellStart"/>
      <w:r w:rsidRPr="00DA5A61">
        <w:rPr>
          <w:rFonts w:ascii="Arial" w:hAnsi="Arial" w:cs="Arial"/>
          <w:color w:val="000000"/>
        </w:rPr>
        <w:t>Guyatt</w:t>
      </w:r>
      <w:proofErr w:type="spellEnd"/>
      <w:r w:rsidRPr="00DA5A61">
        <w:rPr>
          <w:rFonts w:ascii="Arial" w:hAnsi="Arial" w:cs="Arial"/>
          <w:color w:val="000000"/>
        </w:rPr>
        <w:t xml:space="preserve"> acuñó el término «Medicina Basada en Evidencia» (MBE) en un documento informal destinado a los residentes de Medicina Interna de la Universidad de Mc Master, en Canadá. En 1992, el JAMA inició la serie de artículos «</w:t>
      </w:r>
      <w:proofErr w:type="spellStart"/>
      <w:r w:rsidRPr="00DA5A61">
        <w:rPr>
          <w:rFonts w:ascii="Arial" w:hAnsi="Arial" w:cs="Arial"/>
          <w:color w:val="000000"/>
        </w:rPr>
        <w:t>Users</w:t>
      </w:r>
      <w:proofErr w:type="spellEnd"/>
      <w:r w:rsidRPr="00DA5A61">
        <w:rPr>
          <w:rFonts w:ascii="Arial" w:hAnsi="Arial" w:cs="Arial"/>
          <w:color w:val="000000"/>
        </w:rPr>
        <w:t xml:space="preserve">' </w:t>
      </w:r>
      <w:proofErr w:type="spellStart"/>
      <w:r w:rsidRPr="00DA5A61">
        <w:rPr>
          <w:rFonts w:ascii="Arial" w:hAnsi="Arial" w:cs="Arial"/>
          <w:color w:val="000000"/>
        </w:rPr>
        <w:t>Guides</w:t>
      </w:r>
      <w:proofErr w:type="spellEnd"/>
      <w:r w:rsidRPr="00DA5A61">
        <w:rPr>
          <w:rFonts w:ascii="Arial" w:hAnsi="Arial" w:cs="Arial"/>
          <w:color w:val="000000"/>
        </w:rPr>
        <w:t xml:space="preserve"> to </w:t>
      </w:r>
      <w:proofErr w:type="spellStart"/>
      <w:r w:rsidRPr="00DA5A61">
        <w:rPr>
          <w:rFonts w:ascii="Arial" w:hAnsi="Arial" w:cs="Arial"/>
          <w:color w:val="000000"/>
        </w:rPr>
        <w:t>the</w:t>
      </w:r>
      <w:proofErr w:type="spellEnd"/>
      <w:r w:rsidRPr="00DA5A61">
        <w:rPr>
          <w:rFonts w:ascii="Arial" w:hAnsi="Arial" w:cs="Arial"/>
          <w:color w:val="000000"/>
        </w:rPr>
        <w:t xml:space="preserve"> Medical </w:t>
      </w:r>
      <w:proofErr w:type="spellStart"/>
      <w:r w:rsidRPr="00DA5A61">
        <w:rPr>
          <w:rFonts w:ascii="Arial" w:hAnsi="Arial" w:cs="Arial"/>
          <w:color w:val="000000"/>
        </w:rPr>
        <w:t>Literature</w:t>
      </w:r>
      <w:proofErr w:type="spellEnd"/>
      <w:r w:rsidRPr="00DA5A61">
        <w:rPr>
          <w:rFonts w:ascii="Arial" w:hAnsi="Arial" w:cs="Arial"/>
          <w:color w:val="000000"/>
        </w:rPr>
        <w:t xml:space="preserve">», iniciativa liderada por el Dr. </w:t>
      </w:r>
      <w:proofErr w:type="spellStart"/>
      <w:r w:rsidRPr="00DA5A61">
        <w:rPr>
          <w:rFonts w:ascii="Arial" w:hAnsi="Arial" w:cs="Arial"/>
          <w:color w:val="000000"/>
        </w:rPr>
        <w:t>Guyatt</w:t>
      </w:r>
      <w:proofErr w:type="spellEnd"/>
      <w:r w:rsidRPr="00DA5A61">
        <w:rPr>
          <w:rFonts w:ascii="Arial" w:hAnsi="Arial" w:cs="Arial"/>
          <w:color w:val="000000"/>
        </w:rPr>
        <w:t xml:space="preserve"> y epidemiólogos clínicos de universidades norteamericanas y europeas. Posteriormente, el término MBE fue ampliado para incluir otras especialidades médicas y no médicas que inciden en el cuidado de pacientes, denominándose «</w:t>
      </w:r>
      <w:proofErr w:type="spellStart"/>
      <w:r w:rsidRPr="00DA5A61">
        <w:rPr>
          <w:rFonts w:ascii="Arial" w:hAnsi="Arial" w:cs="Arial"/>
          <w:color w:val="000000"/>
        </w:rPr>
        <w:t>Evidence</w:t>
      </w:r>
      <w:proofErr w:type="spellEnd"/>
      <w:r w:rsidRPr="00DA5A61">
        <w:rPr>
          <w:rFonts w:ascii="Arial" w:hAnsi="Arial" w:cs="Arial"/>
          <w:color w:val="000000"/>
        </w:rPr>
        <w:t xml:space="preserve"> </w:t>
      </w:r>
      <w:proofErr w:type="spellStart"/>
      <w:r w:rsidRPr="00DA5A61">
        <w:rPr>
          <w:rFonts w:ascii="Arial" w:hAnsi="Arial" w:cs="Arial"/>
          <w:color w:val="000000"/>
        </w:rPr>
        <w:t>Based</w:t>
      </w:r>
      <w:proofErr w:type="spellEnd"/>
      <w:r w:rsidRPr="00DA5A61">
        <w:rPr>
          <w:rFonts w:ascii="Arial" w:hAnsi="Arial" w:cs="Arial"/>
          <w:color w:val="000000"/>
        </w:rPr>
        <w:t xml:space="preserve"> </w:t>
      </w:r>
      <w:proofErr w:type="spellStart"/>
      <w:r w:rsidRPr="00DA5A61">
        <w:rPr>
          <w:rFonts w:ascii="Arial" w:hAnsi="Arial" w:cs="Arial"/>
          <w:color w:val="000000"/>
        </w:rPr>
        <w:t>Health</w:t>
      </w:r>
      <w:proofErr w:type="spellEnd"/>
      <w:r w:rsidRPr="00DA5A61">
        <w:rPr>
          <w:rFonts w:ascii="Arial" w:hAnsi="Arial" w:cs="Arial"/>
          <w:color w:val="000000"/>
        </w:rPr>
        <w:t xml:space="preserve"> </w:t>
      </w:r>
      <w:proofErr w:type="spellStart"/>
      <w:r w:rsidRPr="00DA5A61">
        <w:rPr>
          <w:rFonts w:ascii="Arial" w:hAnsi="Arial" w:cs="Arial"/>
          <w:color w:val="000000"/>
        </w:rPr>
        <w:t>Care</w:t>
      </w:r>
      <w:proofErr w:type="spellEnd"/>
      <w:r w:rsidRPr="00DA5A61">
        <w:rPr>
          <w:rFonts w:ascii="Arial" w:hAnsi="Arial" w:cs="Arial"/>
          <w:color w:val="000000"/>
        </w:rPr>
        <w:t xml:space="preserve">» (EBHC), que algunos traducen como «Cuidados de Salud Basados en Evidencia» o «Atención de Salud Basada en Evidencia»; estas traducciones no han logrado aceptación general, por lo que seguiremos usando el término MBE, </w:t>
      </w:r>
      <w:r w:rsidRPr="00122CE2">
        <w:rPr>
          <w:rFonts w:ascii="Arial" w:hAnsi="Arial" w:cs="Arial"/>
          <w:color w:val="000000"/>
        </w:rPr>
        <w:t>para referirnos a la EBHC.</w:t>
      </w:r>
    </w:p>
    <w:p w:rsidR="00122CE2" w:rsidRDefault="00122CE2" w:rsidP="00122CE2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22CE2">
        <w:rPr>
          <w:rFonts w:ascii="Arial" w:hAnsi="Arial" w:cs="Arial"/>
          <w:color w:val="000000"/>
          <w:shd w:val="clear" w:color="auto" w:fill="FFFFFF"/>
        </w:rPr>
        <w:t>El análisis constante de la evidencia disponible desde la perspectiva de los diferentes escenarios clínicos, permite establecer grados de recomendación para el ejercicio de procedimientos diagnósticos, terapéuticos, preventivos y económicos en salud; e indica la forma de valorar el conocimiento en función de etiología, daño, morbilidad y complicaciones; pronóstico, historia natural y curso clínico de una enfermedad o evento de interés. Estos han de actualizarse permanentemente en relación al avance del conocimiento, del desarrollo tecnológico y al estado del arte.</w:t>
      </w:r>
    </w:p>
    <w:p w:rsidR="00122CE2" w:rsidRDefault="00122CE2" w:rsidP="00122CE2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Tipos de estudios</w:t>
      </w:r>
    </w:p>
    <w:p w:rsidR="00EE42C5" w:rsidRDefault="00EE42C5" w:rsidP="00EE42C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Experimentales: ensayo clínico, ensayo de campo, ensayo comunitario de intervención.</w:t>
      </w:r>
    </w:p>
    <w:p w:rsidR="00EE42C5" w:rsidRDefault="00EE42C5" w:rsidP="00EE42C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 experimentales: estudios ecológicos, estudios de prevalencia, estudios de casos y controles, estudios de cohortes o de seguimiento.</w:t>
      </w:r>
    </w:p>
    <w:p w:rsidR="00EE42C5" w:rsidRDefault="00EE42C5" w:rsidP="00EE42C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Descriptivos: En poblaciones: estudios ecológicos. En individuos: a propósito de un caso, series de casos, transversales prevalencia.</w:t>
      </w:r>
    </w:p>
    <w:p w:rsidR="00EE42C5" w:rsidRDefault="00EE42C5" w:rsidP="00EE42C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Analíticos: Observacionales: estudios de casos y controles, estudios de cohortes (retrospectivos y prospectivos). Intervención: ensayo clínico, ensayo de campo, ensayo comunitario.</w:t>
      </w:r>
    </w:p>
    <w:p w:rsidR="00EE42C5" w:rsidRPr="00EE42C5" w:rsidRDefault="00EE42C5" w:rsidP="00EE42C5">
      <w:pPr>
        <w:pStyle w:val="NormalWeb"/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D7A4A" w:rsidRDefault="00DD7A4A" w:rsidP="00122CE2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Tipos de sesgos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E3383" w:rsidRPr="005E3383" w:rsidTr="000C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Sesgos de selección</w:t>
            </w:r>
          </w:p>
        </w:tc>
        <w:tc>
          <w:tcPr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sz w:val="20"/>
                <w:szCs w:val="20"/>
              </w:rPr>
              <w:t>Son errores sistemáticos que se introducen durante la selección o el seguimiento de la población en estudio y que propician una conclusión equivocada sobre la hipótesis en evaluación</w:t>
            </w:r>
          </w:p>
        </w:tc>
      </w:tr>
      <w:tr w:rsidR="005E3383" w:rsidRPr="005E3383" w:rsidTr="000C4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Sesgos de información</w:t>
            </w:r>
          </w:p>
        </w:tc>
        <w:tc>
          <w:tcPr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sz w:val="20"/>
                <w:szCs w:val="20"/>
              </w:rPr>
              <w:t>El sesgo de información se refiere a los errores que se introducen durante la medición de la exposición, de los eventos u otras covariables en la población en estudio, que se presentan de manera diferencial entre los grupos que se comparan, y que ocasionan una conclusión errónea respecto de la hipótesis que se investiga.</w:t>
            </w:r>
          </w:p>
        </w:tc>
      </w:tr>
      <w:tr w:rsidR="005E3383" w:rsidRPr="005E3383" w:rsidTr="000C4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Sesgos de confusión</w:t>
            </w:r>
          </w:p>
        </w:tc>
        <w:tc>
          <w:tcPr>
            <w:tcW w:w="4489" w:type="dxa"/>
          </w:tcPr>
          <w:p w:rsidR="005E3383" w:rsidRPr="005E3383" w:rsidRDefault="005E3383" w:rsidP="005E3383">
            <w:pPr>
              <w:pStyle w:val="NormalWe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E3383">
              <w:rPr>
                <w:rFonts w:ascii="Arial" w:hAnsi="Arial" w:cs="Arial"/>
                <w:sz w:val="20"/>
                <w:szCs w:val="20"/>
              </w:rPr>
              <w:t xml:space="preserve">Todos los resultados derivados de estudios observacionales están potencialmente influenciados por este tipo de sesgo. El sesgo de confusión puede resultar en </w:t>
            </w:r>
            <w:proofErr w:type="gramStart"/>
            <w:r w:rsidRPr="005E3383">
              <w:rPr>
                <w:rFonts w:ascii="Arial" w:hAnsi="Arial" w:cs="Arial"/>
                <w:sz w:val="20"/>
                <w:szCs w:val="20"/>
              </w:rPr>
              <w:t>una</w:t>
            </w:r>
            <w:proofErr w:type="gramEnd"/>
            <w:r w:rsidRPr="005E3383">
              <w:rPr>
                <w:rFonts w:ascii="Arial" w:hAnsi="Arial" w:cs="Arial"/>
                <w:sz w:val="20"/>
                <w:szCs w:val="20"/>
              </w:rPr>
              <w:t xml:space="preserve"> sobre o subestimación de la asociación real.</w:t>
            </w:r>
          </w:p>
        </w:tc>
      </w:tr>
    </w:tbl>
    <w:p w:rsidR="00A162EE" w:rsidRDefault="000C4A0D"/>
    <w:p w:rsidR="00EE42C5" w:rsidRPr="000C4A0D" w:rsidRDefault="00EE42C5" w:rsidP="000C4A0D">
      <w:pPr>
        <w:jc w:val="center"/>
        <w:rPr>
          <w:rFonts w:ascii="Arial" w:hAnsi="Arial" w:cs="Arial"/>
          <w:b/>
          <w:sz w:val="20"/>
          <w:szCs w:val="20"/>
        </w:rPr>
      </w:pPr>
      <w:r w:rsidRPr="000C4A0D">
        <w:rPr>
          <w:rFonts w:ascii="Arial" w:hAnsi="Arial" w:cs="Arial"/>
          <w:b/>
          <w:sz w:val="20"/>
          <w:szCs w:val="20"/>
        </w:rPr>
        <w:t>Referencias bibliográficas:</w:t>
      </w:r>
    </w:p>
    <w:p w:rsidR="00154C80" w:rsidRPr="000C4A0D" w:rsidRDefault="00CE3685" w:rsidP="000C4A0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C4A0D">
        <w:rPr>
          <w:rFonts w:ascii="Arial" w:hAnsi="Arial" w:cs="Arial"/>
          <w:color w:val="000000"/>
          <w:sz w:val="20"/>
          <w:szCs w:val="20"/>
        </w:rPr>
        <w:t>Letelier LM, Moore P</w:t>
      </w:r>
      <w:r w:rsidRPr="000C4A0D">
        <w:rPr>
          <w:rFonts w:ascii="Arial" w:hAnsi="Arial" w:cs="Arial"/>
          <w:color w:val="000000"/>
          <w:sz w:val="20"/>
          <w:szCs w:val="20"/>
        </w:rPr>
        <w:t xml:space="preserve">. La medicina basada en evidencia: Visión después de una década. Rev.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méd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. Chile  [Internet]. </w:t>
      </w:r>
      <w:r w:rsidRPr="000C4A0D">
        <w:rPr>
          <w:rFonts w:ascii="Arial" w:hAnsi="Arial" w:cs="Arial"/>
          <w:color w:val="000000"/>
          <w:sz w:val="20"/>
          <w:szCs w:val="20"/>
        </w:rPr>
        <w:t xml:space="preserve">2003 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Ago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[citado  2016 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Ago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>  24</w:t>
      </w:r>
      <w:proofErr w:type="gramStart"/>
      <w:r w:rsidRPr="000C4A0D">
        <w:rPr>
          <w:rFonts w:ascii="Arial" w:hAnsi="Arial" w:cs="Arial"/>
          <w:color w:val="000000"/>
          <w:sz w:val="20"/>
          <w:szCs w:val="20"/>
        </w:rPr>
        <w:t>] ;</w:t>
      </w:r>
      <w:proofErr w:type="gramEnd"/>
      <w:r w:rsidRPr="000C4A0D">
        <w:rPr>
          <w:rFonts w:ascii="Arial" w:hAnsi="Arial" w:cs="Arial"/>
          <w:color w:val="000000"/>
          <w:sz w:val="20"/>
          <w:szCs w:val="20"/>
        </w:rPr>
        <w:t>  131 (8</w:t>
      </w:r>
      <w:r w:rsidRPr="000C4A0D">
        <w:rPr>
          <w:rFonts w:ascii="Arial" w:hAnsi="Arial" w:cs="Arial"/>
          <w:color w:val="000000"/>
          <w:sz w:val="20"/>
          <w:szCs w:val="20"/>
        </w:rPr>
        <w:t>): 939-946. Disponible en: http://www.scielo.cl/scielo.php?script=sci_arttext&amp;pid=S0034-98872003000800016&amp;lng=es.  http://dx.doi.org/10.4067/S0034-98872003000800016.</w:t>
      </w:r>
    </w:p>
    <w:p w:rsidR="00CE3685" w:rsidRPr="000C4A0D" w:rsidRDefault="00CE3685" w:rsidP="000C4A0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Manterola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C,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Zavando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D</w:t>
      </w:r>
      <w:r w:rsidRPr="000C4A0D">
        <w:rPr>
          <w:rFonts w:ascii="Arial" w:hAnsi="Arial" w:cs="Arial"/>
          <w:color w:val="000000"/>
          <w:sz w:val="20"/>
          <w:szCs w:val="20"/>
        </w:rPr>
        <w:t xml:space="preserve">. Cómo interpretar los "Niveles de Evidencia" en los diferentes escenarios clínicos.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Rev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Chil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Cir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  [Internet]. 2009  Dic [citado  2016 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Ago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0C4A0D">
        <w:rPr>
          <w:rFonts w:ascii="Arial" w:hAnsi="Arial" w:cs="Arial"/>
          <w:color w:val="000000"/>
          <w:sz w:val="20"/>
          <w:szCs w:val="20"/>
        </w:rPr>
        <w:t>24</w:t>
      </w:r>
      <w:proofErr w:type="gramStart"/>
      <w:r w:rsidRPr="000C4A0D">
        <w:rPr>
          <w:rFonts w:ascii="Arial" w:hAnsi="Arial" w:cs="Arial"/>
          <w:color w:val="000000"/>
          <w:sz w:val="20"/>
          <w:szCs w:val="20"/>
        </w:rPr>
        <w:t>] ;</w:t>
      </w:r>
      <w:proofErr w:type="gramEnd"/>
      <w:r w:rsidRPr="000C4A0D">
        <w:rPr>
          <w:rFonts w:ascii="Arial" w:hAnsi="Arial" w:cs="Arial"/>
          <w:color w:val="000000"/>
          <w:sz w:val="20"/>
          <w:szCs w:val="20"/>
        </w:rPr>
        <w:t>  61 (6</w:t>
      </w:r>
      <w:r w:rsidRPr="000C4A0D">
        <w:rPr>
          <w:rFonts w:ascii="Arial" w:hAnsi="Arial" w:cs="Arial"/>
          <w:color w:val="000000"/>
          <w:sz w:val="20"/>
          <w:szCs w:val="20"/>
        </w:rPr>
        <w:t>): 582-595. Disponible en: http://www.scielo.cl/scielo.php?script=sci_arttext&amp;pid=S0718-40262009000600017&amp;lng=es.  http://dx.doi.org/10.4067/S0718-40262009000600017.</w:t>
      </w:r>
    </w:p>
    <w:p w:rsidR="00CE3685" w:rsidRPr="000C4A0D" w:rsidRDefault="00CE3685" w:rsidP="000C4A0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Boucourt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 xml:space="preserve"> L</w:t>
      </w:r>
      <w:r w:rsidRPr="000C4A0D">
        <w:rPr>
          <w:rFonts w:ascii="Arial" w:hAnsi="Arial" w:cs="Arial"/>
          <w:color w:val="000000"/>
          <w:sz w:val="20"/>
          <w:szCs w:val="20"/>
        </w:rPr>
        <w:t>. Su excelencia: la medicina basada en evidencias. ACIMED  [Internet]. 2003  Jun</w:t>
      </w:r>
      <w:r w:rsidRPr="000C4A0D">
        <w:rPr>
          <w:rFonts w:ascii="Arial" w:hAnsi="Arial" w:cs="Arial"/>
          <w:color w:val="000000"/>
          <w:sz w:val="20"/>
          <w:szCs w:val="20"/>
        </w:rPr>
        <w:t xml:space="preserve"> [citado  2016  </w:t>
      </w:r>
      <w:proofErr w:type="spellStart"/>
      <w:r w:rsidRPr="000C4A0D">
        <w:rPr>
          <w:rFonts w:ascii="Arial" w:hAnsi="Arial" w:cs="Arial"/>
          <w:color w:val="000000"/>
          <w:sz w:val="20"/>
          <w:szCs w:val="20"/>
        </w:rPr>
        <w:t>Ago</w:t>
      </w:r>
      <w:proofErr w:type="spellEnd"/>
      <w:r w:rsidRPr="000C4A0D">
        <w:rPr>
          <w:rFonts w:ascii="Arial" w:hAnsi="Arial" w:cs="Arial"/>
          <w:color w:val="000000"/>
          <w:sz w:val="20"/>
          <w:szCs w:val="20"/>
        </w:rPr>
        <w:t>  24</w:t>
      </w:r>
      <w:proofErr w:type="gramStart"/>
      <w:r w:rsidRPr="000C4A0D">
        <w:rPr>
          <w:rFonts w:ascii="Arial" w:hAnsi="Arial" w:cs="Arial"/>
          <w:color w:val="000000"/>
          <w:sz w:val="20"/>
          <w:szCs w:val="20"/>
        </w:rPr>
        <w:t>] ;</w:t>
      </w:r>
      <w:proofErr w:type="gramEnd"/>
      <w:r w:rsidRPr="000C4A0D">
        <w:rPr>
          <w:rFonts w:ascii="Arial" w:hAnsi="Arial" w:cs="Arial"/>
          <w:color w:val="000000"/>
          <w:sz w:val="20"/>
          <w:szCs w:val="20"/>
        </w:rPr>
        <w:t>  11 (3</w:t>
      </w:r>
      <w:r w:rsidRPr="000C4A0D">
        <w:rPr>
          <w:rFonts w:ascii="Arial" w:hAnsi="Arial" w:cs="Arial"/>
          <w:color w:val="000000"/>
          <w:sz w:val="20"/>
          <w:szCs w:val="20"/>
        </w:rPr>
        <w:t>): 3-4. Disponible en: http://scielo.sld.cu/scielo.php?script=sci_arttext&amp;pid=S1024-94352003000300002&amp;lng=es.</w:t>
      </w:r>
    </w:p>
    <w:p w:rsidR="00CE3685" w:rsidRPr="000C4A0D" w:rsidRDefault="00CE3685" w:rsidP="000C4A0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C4A0D">
        <w:rPr>
          <w:rFonts w:ascii="Arial" w:hAnsi="Arial" w:cs="Arial"/>
          <w:sz w:val="20"/>
          <w:szCs w:val="20"/>
        </w:rPr>
        <w:t>Manterola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 C,</w:t>
      </w:r>
      <w:r w:rsidR="000C4A0D" w:rsidRPr="000C4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A0D" w:rsidRPr="000C4A0D">
        <w:rPr>
          <w:rFonts w:ascii="Arial" w:hAnsi="Arial" w:cs="Arial"/>
          <w:sz w:val="20"/>
          <w:szCs w:val="20"/>
        </w:rPr>
        <w:t>Otzen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 T. </w:t>
      </w:r>
      <w:proofErr w:type="spellStart"/>
      <w:r w:rsidRPr="000C4A0D">
        <w:rPr>
          <w:rFonts w:ascii="Arial" w:hAnsi="Arial" w:cs="Arial"/>
          <w:sz w:val="20"/>
          <w:szCs w:val="20"/>
        </w:rPr>
        <w:t>Bias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C4A0D">
        <w:rPr>
          <w:rFonts w:ascii="Arial" w:hAnsi="Arial" w:cs="Arial"/>
          <w:sz w:val="20"/>
          <w:szCs w:val="20"/>
        </w:rPr>
        <w:t>clinical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A0D">
        <w:rPr>
          <w:rFonts w:ascii="Arial" w:hAnsi="Arial" w:cs="Arial"/>
          <w:sz w:val="20"/>
          <w:szCs w:val="20"/>
        </w:rPr>
        <w:t>research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C4A0D">
        <w:rPr>
          <w:rFonts w:ascii="Arial" w:hAnsi="Arial" w:cs="Arial"/>
          <w:sz w:val="20"/>
          <w:szCs w:val="20"/>
        </w:rPr>
        <w:t>Int</w:t>
      </w:r>
      <w:proofErr w:type="spellEnd"/>
      <w:r w:rsidRPr="000C4A0D">
        <w:rPr>
          <w:rFonts w:ascii="Arial" w:hAnsi="Arial" w:cs="Arial"/>
          <w:sz w:val="20"/>
          <w:szCs w:val="20"/>
        </w:rPr>
        <w:t xml:space="preserve">. J. </w:t>
      </w:r>
      <w:proofErr w:type="spellStart"/>
      <w:r w:rsidRPr="000C4A0D">
        <w:rPr>
          <w:rFonts w:ascii="Arial" w:hAnsi="Arial" w:cs="Arial"/>
          <w:sz w:val="20"/>
          <w:szCs w:val="20"/>
        </w:rPr>
        <w:t>Morphol</w:t>
      </w:r>
      <w:proofErr w:type="spellEnd"/>
      <w:r w:rsidR="000C4A0D" w:rsidRPr="000C4A0D">
        <w:rPr>
          <w:rFonts w:ascii="Arial" w:hAnsi="Arial" w:cs="Arial"/>
          <w:sz w:val="20"/>
          <w:szCs w:val="20"/>
        </w:rPr>
        <w:t xml:space="preserve"> [Internet]. 2015 [citado 2016 </w:t>
      </w:r>
      <w:proofErr w:type="spellStart"/>
      <w:r w:rsidR="000C4A0D" w:rsidRPr="000C4A0D">
        <w:rPr>
          <w:rFonts w:ascii="Arial" w:hAnsi="Arial" w:cs="Arial"/>
          <w:sz w:val="20"/>
          <w:szCs w:val="20"/>
        </w:rPr>
        <w:t>Ago</w:t>
      </w:r>
      <w:proofErr w:type="spellEnd"/>
      <w:r w:rsidR="000C4A0D" w:rsidRPr="000C4A0D">
        <w:rPr>
          <w:rFonts w:ascii="Arial" w:hAnsi="Arial" w:cs="Arial"/>
          <w:sz w:val="20"/>
          <w:szCs w:val="20"/>
        </w:rPr>
        <w:t xml:space="preserve"> 24</w:t>
      </w:r>
      <w:proofErr w:type="gramStart"/>
      <w:r w:rsidR="000C4A0D" w:rsidRPr="000C4A0D">
        <w:rPr>
          <w:rFonts w:ascii="Arial" w:hAnsi="Arial" w:cs="Arial"/>
          <w:sz w:val="20"/>
          <w:szCs w:val="20"/>
        </w:rPr>
        <w:t>] :</w:t>
      </w:r>
      <w:proofErr w:type="gramEnd"/>
      <w:r w:rsidRPr="000C4A0D">
        <w:rPr>
          <w:rFonts w:ascii="Arial" w:hAnsi="Arial" w:cs="Arial"/>
          <w:sz w:val="20"/>
          <w:szCs w:val="20"/>
        </w:rPr>
        <w:t xml:space="preserve"> 33</w:t>
      </w:r>
      <w:r w:rsidR="000C4A0D" w:rsidRPr="000C4A0D">
        <w:rPr>
          <w:rFonts w:ascii="Arial" w:hAnsi="Arial" w:cs="Arial"/>
          <w:sz w:val="20"/>
          <w:szCs w:val="20"/>
        </w:rPr>
        <w:t xml:space="preserve"> </w:t>
      </w:r>
      <w:r w:rsidRPr="000C4A0D">
        <w:rPr>
          <w:rFonts w:ascii="Arial" w:hAnsi="Arial" w:cs="Arial"/>
          <w:sz w:val="20"/>
          <w:szCs w:val="20"/>
        </w:rPr>
        <w:t>(3)</w:t>
      </w:r>
      <w:r w:rsidR="000C4A0D" w:rsidRPr="000C4A0D">
        <w:rPr>
          <w:rFonts w:ascii="Arial" w:hAnsi="Arial" w:cs="Arial"/>
          <w:sz w:val="20"/>
          <w:szCs w:val="20"/>
        </w:rPr>
        <w:t xml:space="preserve"> :1156-1164. Disponible en: http://www.scielo.cl/pdf/ijmorphol/v33n3/art56.pdf</w:t>
      </w:r>
    </w:p>
    <w:sectPr w:rsidR="00CE3685" w:rsidRPr="000C4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FB1"/>
    <w:multiLevelType w:val="hybridMultilevel"/>
    <w:tmpl w:val="9B7EDA4C"/>
    <w:lvl w:ilvl="0" w:tplc="F3FE193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1E0E"/>
    <w:multiLevelType w:val="hybridMultilevel"/>
    <w:tmpl w:val="3DE60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61"/>
    <w:rsid w:val="000530AB"/>
    <w:rsid w:val="000C4A0D"/>
    <w:rsid w:val="00122CE2"/>
    <w:rsid w:val="00154C80"/>
    <w:rsid w:val="005E3383"/>
    <w:rsid w:val="00CE3685"/>
    <w:rsid w:val="00DA5A61"/>
    <w:rsid w:val="00DD7A4A"/>
    <w:rsid w:val="00E94884"/>
    <w:rsid w:val="00E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A5A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5A61"/>
  </w:style>
  <w:style w:type="paragraph" w:styleId="Textodeglobo">
    <w:name w:val="Balloon Text"/>
    <w:basedOn w:val="Normal"/>
    <w:link w:val="TextodegloboCar"/>
    <w:uiPriority w:val="99"/>
    <w:semiHidden/>
    <w:unhideWhenUsed/>
    <w:rsid w:val="00DA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5E33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EE42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EE4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15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A5A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5A61"/>
  </w:style>
  <w:style w:type="paragraph" w:styleId="Textodeglobo">
    <w:name w:val="Balloon Text"/>
    <w:basedOn w:val="Normal"/>
    <w:link w:val="TextodegloboCar"/>
    <w:uiPriority w:val="99"/>
    <w:semiHidden/>
    <w:unhideWhenUsed/>
    <w:rsid w:val="00DA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5E33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EE42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EE42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15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Ulloa</dc:creator>
  <cp:lastModifiedBy>Luis Ulloa</cp:lastModifiedBy>
  <cp:revision>3</cp:revision>
  <dcterms:created xsi:type="dcterms:W3CDTF">2016-08-24T23:38:00Z</dcterms:created>
  <dcterms:modified xsi:type="dcterms:W3CDTF">2016-08-25T03:55:00Z</dcterms:modified>
</cp:coreProperties>
</file>