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4C" w:rsidRDefault="00725C4C" w:rsidP="00420538">
      <w:pPr>
        <w:jc w:val="both"/>
        <w:rPr>
          <w:rFonts w:ascii="Arial" w:hAnsi="Arial"/>
          <w:lang w:val="es-MX"/>
        </w:rPr>
      </w:pPr>
      <w:bookmarkStart w:id="0" w:name="_GoBack"/>
      <w:bookmarkEnd w:id="0"/>
      <w:r>
        <w:rPr>
          <w:rFonts w:ascii="Arial" w:hAnsi="Arial"/>
          <w:lang w:val="es-MX"/>
        </w:rPr>
        <w:t>La medicina basada en evidencias</w:t>
      </w:r>
      <w:r w:rsidRPr="00A42864">
        <w:rPr>
          <w:rFonts w:ascii="Arial" w:hAnsi="Arial"/>
          <w:lang w:val="es-MX"/>
        </w:rPr>
        <w:t xml:space="preserve"> consiste en el uso consciente, explícito y juicioso de las mejores y más actuales pruebas en la toma de decisiones sobre la atención integral de cada individuo, no sólo sobre su enfermedad o proceso, comprendiendo desde la realización de diagnósticos precisos, atención eficiente y la identificación y consideración de los principios, preferencias y derechos de los pacientes.</w:t>
      </w:r>
    </w:p>
    <w:p w:rsidR="00420538" w:rsidRPr="00A42864" w:rsidRDefault="00420538" w:rsidP="00420538">
      <w:pPr>
        <w:jc w:val="both"/>
        <w:rPr>
          <w:rFonts w:ascii="Arial" w:hAnsi="Arial"/>
          <w:lang w:val="es-MX"/>
        </w:rPr>
      </w:pPr>
      <w:r w:rsidRPr="00A42864">
        <w:rPr>
          <w:rFonts w:ascii="Arial" w:hAnsi="Arial"/>
          <w:lang w:val="es-MX"/>
        </w:rPr>
        <w:t>Durante el reinado del Emperador Qianlong en China (Siglo XVIII), se desarrolló una metodología para interpretar los textos antiguos de Confucio, llamada “kaozheng”, que traducido significa “practicando investigación con evidencias”. Fue hasta 1952 que apareció el primer ensayo clínico aleatorio publicado en el British Medical Journal constituyendo un punto de cambio fundamental en el desarrollo del razonamiento biomédico, que permitió cuantificar la eficacia real y la seguridad de las intervenciones preventivas, diagnósticas o terapéuticas, así como la formación de opiniones sobre el pronóstico. El ensayo clínico fue el punto de partida para el desarrollo de múltiples técnicas de estudio y análisis científicos basados en la estadística y la epidemiología. Sin embargo, fue necesario que transcurrieran años, para que estos criterios se incorporaran eficazmente al campo de la epidemiología clínica. A finales de la década de los 70 varios epidemiólogos clínicos entre los que se destacan Sackett, Haynes y Tugwell, se esforzaban por integrar los datos de la investigación clínica a la toma de decisiones en la práctica médica; en los 80 aparecieron las primeras publicaciones orientadas a la revisión crítica de estudios publicados en revistas médicas y fue así que en 1990 en la Universidad de McMaster en Canadá, G. Guyatt acuñó el término “Medicin</w:t>
      </w:r>
      <w:r w:rsidR="00725C4C">
        <w:rPr>
          <w:rFonts w:ascii="Arial" w:hAnsi="Arial"/>
          <w:lang w:val="es-MX"/>
        </w:rPr>
        <w:t xml:space="preserve">a Basada en la Evidencia” </w:t>
      </w:r>
      <w:r w:rsidRPr="00A42864">
        <w:rPr>
          <w:rFonts w:ascii="Arial" w:hAnsi="Arial"/>
          <w:lang w:val="es-MX"/>
        </w:rPr>
        <w:t>dando un nuevo enfoque a la docencia y práctica de la medicina y resaltando la importancia del examen crítico de las pruebas o “evidencias” procedentes de la investigación.</w:t>
      </w:r>
      <w:r w:rsidR="00725C4C">
        <w:rPr>
          <w:rFonts w:ascii="Arial" w:hAnsi="Arial"/>
          <w:lang w:val="es-MX"/>
        </w:rPr>
        <w:t xml:space="preserve"> </w:t>
      </w:r>
    </w:p>
    <w:p w:rsidR="00420538" w:rsidRPr="00A42864" w:rsidRDefault="00420538" w:rsidP="00420538">
      <w:pPr>
        <w:jc w:val="both"/>
        <w:rPr>
          <w:rFonts w:ascii="Arial" w:hAnsi="Arial"/>
          <w:lang w:val="es-MX"/>
        </w:rPr>
      </w:pPr>
    </w:p>
    <w:p w:rsidR="00420538" w:rsidRPr="00A42864" w:rsidRDefault="00420538" w:rsidP="00420538">
      <w:pPr>
        <w:jc w:val="both"/>
        <w:rPr>
          <w:rFonts w:ascii="Arial" w:hAnsi="Arial"/>
          <w:lang w:val="es-MX"/>
        </w:rPr>
      </w:pPr>
      <w:r w:rsidRPr="00A42864">
        <w:rPr>
          <w:rFonts w:ascii="Arial" w:hAnsi="Arial"/>
          <w:lang w:val="es-MX"/>
        </w:rPr>
        <w:t>Existen varios tipos o diseños de estudios que pueden ser aplicables en la medicina basada en evidencias. Estos son:</w:t>
      </w:r>
    </w:p>
    <w:p w:rsidR="00420538" w:rsidRPr="00A42864" w:rsidRDefault="00420538" w:rsidP="00420538">
      <w:pPr>
        <w:pStyle w:val="Prrafodelista"/>
        <w:numPr>
          <w:ilvl w:val="0"/>
          <w:numId w:val="1"/>
        </w:numPr>
        <w:jc w:val="both"/>
        <w:rPr>
          <w:rFonts w:ascii="Arial" w:hAnsi="Arial"/>
          <w:lang w:val="es-MX"/>
        </w:rPr>
      </w:pPr>
      <w:r w:rsidRPr="00A42864">
        <w:rPr>
          <w:rFonts w:ascii="Arial" w:hAnsi="Arial"/>
          <w:lang w:val="es-MX"/>
        </w:rPr>
        <w:t xml:space="preserve">Descriptivos </w:t>
      </w:r>
    </w:p>
    <w:p w:rsidR="00420538" w:rsidRPr="00A42864" w:rsidRDefault="00420538" w:rsidP="00420538">
      <w:pPr>
        <w:pStyle w:val="Prrafodelista"/>
        <w:numPr>
          <w:ilvl w:val="1"/>
          <w:numId w:val="1"/>
        </w:numPr>
        <w:jc w:val="both"/>
        <w:rPr>
          <w:rFonts w:ascii="Arial" w:hAnsi="Arial"/>
          <w:lang w:val="es-MX"/>
        </w:rPr>
      </w:pPr>
      <w:r w:rsidRPr="00A42864">
        <w:rPr>
          <w:rFonts w:ascii="Arial" w:hAnsi="Arial"/>
          <w:lang w:val="es-MX"/>
        </w:rPr>
        <w:t>Estudios ecológicos</w:t>
      </w:r>
    </w:p>
    <w:p w:rsidR="00420538" w:rsidRPr="00A42864" w:rsidRDefault="00420538" w:rsidP="00420538">
      <w:pPr>
        <w:pStyle w:val="Prrafodelista"/>
        <w:numPr>
          <w:ilvl w:val="1"/>
          <w:numId w:val="1"/>
        </w:numPr>
        <w:jc w:val="both"/>
        <w:rPr>
          <w:rFonts w:ascii="Arial" w:hAnsi="Arial"/>
          <w:lang w:val="es-MX"/>
        </w:rPr>
      </w:pPr>
      <w:r w:rsidRPr="00A42864">
        <w:rPr>
          <w:rFonts w:ascii="Arial" w:hAnsi="Arial"/>
          <w:lang w:val="es-MX"/>
        </w:rPr>
        <w:t xml:space="preserve">Transversales </w:t>
      </w:r>
    </w:p>
    <w:p w:rsidR="00420538" w:rsidRPr="00A42864" w:rsidRDefault="00420538" w:rsidP="00420538">
      <w:pPr>
        <w:pStyle w:val="Prrafodelista"/>
        <w:numPr>
          <w:ilvl w:val="1"/>
          <w:numId w:val="1"/>
        </w:numPr>
        <w:jc w:val="both"/>
        <w:rPr>
          <w:rFonts w:ascii="Arial" w:hAnsi="Arial"/>
          <w:lang w:val="es-MX"/>
        </w:rPr>
      </w:pPr>
      <w:r w:rsidRPr="00A42864">
        <w:rPr>
          <w:rFonts w:ascii="Arial" w:hAnsi="Arial"/>
          <w:lang w:val="es-MX"/>
        </w:rPr>
        <w:t>Resporte de caso</w:t>
      </w:r>
    </w:p>
    <w:p w:rsidR="00420538" w:rsidRPr="00A42864" w:rsidRDefault="00420538" w:rsidP="00420538">
      <w:pPr>
        <w:pStyle w:val="Prrafodelista"/>
        <w:numPr>
          <w:ilvl w:val="0"/>
          <w:numId w:val="1"/>
        </w:numPr>
        <w:jc w:val="both"/>
        <w:rPr>
          <w:rFonts w:ascii="Arial" w:hAnsi="Arial"/>
          <w:lang w:val="es-MX"/>
        </w:rPr>
      </w:pPr>
      <w:r w:rsidRPr="00A42864">
        <w:rPr>
          <w:rFonts w:ascii="Arial" w:hAnsi="Arial"/>
          <w:lang w:val="es-MX"/>
        </w:rPr>
        <w:t xml:space="preserve">Analíticos </w:t>
      </w:r>
    </w:p>
    <w:p w:rsidR="00420538" w:rsidRPr="00A42864" w:rsidRDefault="00420538" w:rsidP="00420538">
      <w:pPr>
        <w:pStyle w:val="Prrafodelista"/>
        <w:numPr>
          <w:ilvl w:val="1"/>
          <w:numId w:val="1"/>
        </w:numPr>
        <w:jc w:val="both"/>
        <w:rPr>
          <w:rFonts w:ascii="Arial" w:hAnsi="Arial"/>
          <w:lang w:val="es-MX"/>
        </w:rPr>
      </w:pPr>
      <w:r w:rsidRPr="00A42864">
        <w:rPr>
          <w:rFonts w:ascii="Arial" w:hAnsi="Arial"/>
          <w:lang w:val="es-MX"/>
        </w:rPr>
        <w:t>Observacionales</w:t>
      </w:r>
    </w:p>
    <w:p w:rsidR="00420538" w:rsidRPr="00A42864" w:rsidRDefault="00420538" w:rsidP="00420538">
      <w:pPr>
        <w:pStyle w:val="Prrafodelista"/>
        <w:numPr>
          <w:ilvl w:val="2"/>
          <w:numId w:val="1"/>
        </w:numPr>
        <w:jc w:val="both"/>
        <w:rPr>
          <w:rFonts w:ascii="Arial" w:hAnsi="Arial"/>
          <w:lang w:val="es-MX"/>
        </w:rPr>
      </w:pPr>
      <w:r w:rsidRPr="00A42864">
        <w:rPr>
          <w:rFonts w:ascii="Arial" w:hAnsi="Arial"/>
          <w:lang w:val="es-MX"/>
        </w:rPr>
        <w:t>Casos y controles</w:t>
      </w:r>
    </w:p>
    <w:p w:rsidR="00420538" w:rsidRPr="00A42864" w:rsidRDefault="00420538" w:rsidP="00420538">
      <w:pPr>
        <w:pStyle w:val="Prrafodelista"/>
        <w:numPr>
          <w:ilvl w:val="2"/>
          <w:numId w:val="1"/>
        </w:numPr>
        <w:jc w:val="both"/>
        <w:rPr>
          <w:rFonts w:ascii="Arial" w:hAnsi="Arial"/>
          <w:lang w:val="es-MX"/>
        </w:rPr>
      </w:pPr>
      <w:r w:rsidRPr="00A42864">
        <w:rPr>
          <w:rFonts w:ascii="Arial" w:hAnsi="Arial"/>
          <w:lang w:val="es-MX"/>
        </w:rPr>
        <w:t xml:space="preserve">Cohortes </w:t>
      </w:r>
    </w:p>
    <w:p w:rsidR="00420538" w:rsidRPr="00A42864" w:rsidRDefault="00420538" w:rsidP="00420538">
      <w:pPr>
        <w:pStyle w:val="Prrafodelista"/>
        <w:numPr>
          <w:ilvl w:val="1"/>
          <w:numId w:val="1"/>
        </w:numPr>
        <w:jc w:val="both"/>
        <w:rPr>
          <w:rFonts w:ascii="Arial" w:hAnsi="Arial"/>
          <w:lang w:val="es-MX"/>
        </w:rPr>
      </w:pPr>
      <w:r w:rsidRPr="00A42864">
        <w:rPr>
          <w:rFonts w:ascii="Arial" w:hAnsi="Arial"/>
          <w:lang w:val="es-MX"/>
        </w:rPr>
        <w:t>Experimentales</w:t>
      </w:r>
    </w:p>
    <w:p w:rsidR="00420538" w:rsidRPr="00A42864" w:rsidRDefault="00420538" w:rsidP="00420538">
      <w:pPr>
        <w:pStyle w:val="Prrafodelista"/>
        <w:numPr>
          <w:ilvl w:val="2"/>
          <w:numId w:val="1"/>
        </w:numPr>
        <w:jc w:val="both"/>
        <w:rPr>
          <w:rFonts w:ascii="Arial" w:hAnsi="Arial"/>
          <w:lang w:val="es-MX"/>
        </w:rPr>
      </w:pPr>
      <w:r w:rsidRPr="00A42864">
        <w:rPr>
          <w:rFonts w:ascii="Arial" w:hAnsi="Arial"/>
          <w:lang w:val="es-MX"/>
        </w:rPr>
        <w:t>Ensayos clínicos</w:t>
      </w:r>
    </w:p>
    <w:p w:rsidR="00420538" w:rsidRPr="00A42864" w:rsidRDefault="00420538" w:rsidP="00420538">
      <w:pPr>
        <w:pStyle w:val="Prrafodelista"/>
        <w:numPr>
          <w:ilvl w:val="2"/>
          <w:numId w:val="1"/>
        </w:numPr>
        <w:jc w:val="both"/>
        <w:rPr>
          <w:rFonts w:ascii="Arial" w:hAnsi="Arial"/>
          <w:lang w:val="es-MX"/>
        </w:rPr>
      </w:pPr>
      <w:r w:rsidRPr="00A42864">
        <w:rPr>
          <w:rFonts w:ascii="Arial" w:hAnsi="Arial"/>
          <w:lang w:val="es-MX"/>
        </w:rPr>
        <w:t>Ensayos de campo</w:t>
      </w:r>
    </w:p>
    <w:p w:rsidR="00420538" w:rsidRPr="00A42864" w:rsidRDefault="00420538" w:rsidP="00420538">
      <w:pPr>
        <w:pStyle w:val="Prrafodelista"/>
        <w:numPr>
          <w:ilvl w:val="2"/>
          <w:numId w:val="1"/>
        </w:numPr>
        <w:jc w:val="both"/>
        <w:rPr>
          <w:rFonts w:ascii="Arial" w:hAnsi="Arial"/>
          <w:lang w:val="es-MX"/>
        </w:rPr>
      </w:pPr>
      <w:r w:rsidRPr="00A42864">
        <w:rPr>
          <w:rFonts w:ascii="Arial" w:hAnsi="Arial"/>
          <w:lang w:val="es-MX"/>
        </w:rPr>
        <w:t>Ensayos comunitarios</w:t>
      </w:r>
    </w:p>
    <w:p w:rsidR="00420538" w:rsidRPr="00A42864" w:rsidRDefault="00420538" w:rsidP="00420538">
      <w:pPr>
        <w:pStyle w:val="Prrafodelista"/>
        <w:numPr>
          <w:ilvl w:val="0"/>
          <w:numId w:val="1"/>
        </w:numPr>
        <w:jc w:val="both"/>
        <w:rPr>
          <w:rFonts w:ascii="Arial" w:hAnsi="Arial"/>
          <w:lang w:val="es-MX"/>
        </w:rPr>
      </w:pPr>
      <w:r w:rsidRPr="00A42864">
        <w:rPr>
          <w:rFonts w:ascii="Arial" w:hAnsi="Arial"/>
          <w:lang w:val="es-MX"/>
        </w:rPr>
        <w:t xml:space="preserve">Revisiones </w:t>
      </w:r>
    </w:p>
    <w:p w:rsidR="00420538" w:rsidRPr="00A42864" w:rsidRDefault="00420538" w:rsidP="00420538">
      <w:pPr>
        <w:pStyle w:val="Prrafodelista"/>
        <w:numPr>
          <w:ilvl w:val="1"/>
          <w:numId w:val="1"/>
        </w:numPr>
        <w:jc w:val="both"/>
        <w:rPr>
          <w:rFonts w:ascii="Arial" w:hAnsi="Arial"/>
          <w:lang w:val="es-MX"/>
        </w:rPr>
      </w:pPr>
      <w:r w:rsidRPr="00A42864">
        <w:rPr>
          <w:rFonts w:ascii="Arial" w:hAnsi="Arial"/>
          <w:lang w:val="es-MX"/>
        </w:rPr>
        <w:t>No sistemáticas</w:t>
      </w:r>
    </w:p>
    <w:p w:rsidR="00420538" w:rsidRPr="00A42864" w:rsidRDefault="00420538" w:rsidP="00420538">
      <w:pPr>
        <w:pStyle w:val="Prrafodelista"/>
        <w:numPr>
          <w:ilvl w:val="1"/>
          <w:numId w:val="1"/>
        </w:numPr>
        <w:jc w:val="both"/>
        <w:rPr>
          <w:rFonts w:ascii="Arial" w:hAnsi="Arial"/>
          <w:lang w:val="es-MX"/>
        </w:rPr>
      </w:pPr>
      <w:r w:rsidRPr="00A42864">
        <w:rPr>
          <w:rFonts w:ascii="Arial" w:hAnsi="Arial"/>
          <w:lang w:val="es-MX"/>
        </w:rPr>
        <w:t>Sistemáticas</w:t>
      </w:r>
    </w:p>
    <w:p w:rsidR="00420538" w:rsidRPr="00A42864" w:rsidRDefault="00420538" w:rsidP="00420538">
      <w:pPr>
        <w:pStyle w:val="Prrafodelista"/>
        <w:numPr>
          <w:ilvl w:val="2"/>
          <w:numId w:val="1"/>
        </w:numPr>
        <w:jc w:val="both"/>
        <w:rPr>
          <w:rFonts w:ascii="Arial" w:hAnsi="Arial"/>
          <w:lang w:val="es-MX"/>
        </w:rPr>
      </w:pPr>
      <w:r w:rsidRPr="00A42864">
        <w:rPr>
          <w:rFonts w:ascii="Arial" w:hAnsi="Arial"/>
          <w:lang w:val="es-MX"/>
        </w:rPr>
        <w:t>Cualitativa</w:t>
      </w:r>
    </w:p>
    <w:p w:rsidR="00420538" w:rsidRPr="00725C4C" w:rsidRDefault="00420538" w:rsidP="00A42864">
      <w:pPr>
        <w:pStyle w:val="Prrafodelista"/>
        <w:numPr>
          <w:ilvl w:val="2"/>
          <w:numId w:val="1"/>
        </w:numPr>
        <w:jc w:val="both"/>
        <w:rPr>
          <w:rFonts w:ascii="Arial" w:hAnsi="Arial"/>
          <w:lang w:val="es-MX"/>
        </w:rPr>
      </w:pPr>
      <w:r w:rsidRPr="00A42864">
        <w:rPr>
          <w:rFonts w:ascii="Arial" w:hAnsi="Arial"/>
          <w:lang w:val="es-MX"/>
        </w:rPr>
        <w:t>Cuantitativa</w:t>
      </w:r>
    </w:p>
    <w:tbl>
      <w:tblPr>
        <w:tblStyle w:val="Tablaconcuadrcula"/>
        <w:tblW w:w="0" w:type="auto"/>
        <w:tblLook w:val="04A0" w:firstRow="1" w:lastRow="0" w:firstColumn="1" w:lastColumn="0" w:noHBand="0" w:noVBand="1"/>
      </w:tblPr>
      <w:tblGrid>
        <w:gridCol w:w="4489"/>
        <w:gridCol w:w="4489"/>
      </w:tblGrid>
      <w:tr w:rsidR="00420538" w:rsidRPr="00A42864" w:rsidTr="00420538">
        <w:tc>
          <w:tcPr>
            <w:tcW w:w="4489" w:type="dxa"/>
          </w:tcPr>
          <w:p w:rsidR="00420538" w:rsidRPr="00A42864" w:rsidRDefault="00420538">
            <w:pPr>
              <w:rPr>
                <w:rFonts w:ascii="Arial" w:hAnsi="Arial"/>
              </w:rPr>
            </w:pPr>
          </w:p>
        </w:tc>
        <w:tc>
          <w:tcPr>
            <w:tcW w:w="4489" w:type="dxa"/>
          </w:tcPr>
          <w:p w:rsidR="00A42864" w:rsidRPr="00A42864" w:rsidRDefault="00A42864" w:rsidP="00420538">
            <w:pPr>
              <w:rPr>
                <w:rFonts w:ascii="Arial" w:hAnsi="Arial"/>
              </w:rPr>
            </w:pPr>
          </w:p>
          <w:p w:rsidR="00420538" w:rsidRPr="00A42864" w:rsidRDefault="00420538" w:rsidP="00420538">
            <w:pPr>
              <w:rPr>
                <w:rFonts w:ascii="Arial" w:hAnsi="Arial"/>
              </w:rPr>
            </w:pPr>
            <w:r w:rsidRPr="00A42864">
              <w:rPr>
                <w:rFonts w:ascii="Arial" w:hAnsi="Arial"/>
              </w:rPr>
              <w:t>Sesgos de selección</w:t>
            </w:r>
          </w:p>
          <w:p w:rsidR="00A42864" w:rsidRPr="00A42864" w:rsidRDefault="00A42864" w:rsidP="00420538">
            <w:pPr>
              <w:rPr>
                <w:rFonts w:ascii="Arial" w:hAnsi="Arial"/>
              </w:rPr>
            </w:pPr>
          </w:p>
        </w:tc>
      </w:tr>
      <w:tr w:rsidR="00420538" w:rsidRPr="00A42864" w:rsidTr="00420538">
        <w:tc>
          <w:tcPr>
            <w:tcW w:w="4489" w:type="dxa"/>
          </w:tcPr>
          <w:p w:rsidR="00420538" w:rsidRPr="00A42864" w:rsidRDefault="00420538" w:rsidP="00420538">
            <w:pPr>
              <w:tabs>
                <w:tab w:val="left" w:pos="3510"/>
              </w:tabs>
              <w:rPr>
                <w:rFonts w:ascii="Arial" w:hAnsi="Arial"/>
              </w:rPr>
            </w:pPr>
          </w:p>
        </w:tc>
        <w:tc>
          <w:tcPr>
            <w:tcW w:w="4489" w:type="dxa"/>
          </w:tcPr>
          <w:p w:rsidR="00A42864" w:rsidRPr="00A42864" w:rsidRDefault="00A42864" w:rsidP="00420538">
            <w:pPr>
              <w:tabs>
                <w:tab w:val="left" w:pos="3510"/>
              </w:tabs>
              <w:rPr>
                <w:rFonts w:ascii="Arial" w:hAnsi="Arial"/>
              </w:rPr>
            </w:pPr>
          </w:p>
          <w:p w:rsidR="00420538" w:rsidRPr="00A42864" w:rsidRDefault="00420538" w:rsidP="00420538">
            <w:pPr>
              <w:tabs>
                <w:tab w:val="left" w:pos="3510"/>
              </w:tabs>
              <w:rPr>
                <w:rFonts w:ascii="Arial" w:hAnsi="Arial"/>
              </w:rPr>
            </w:pPr>
            <w:r w:rsidRPr="00A42864">
              <w:rPr>
                <w:rFonts w:ascii="Arial" w:hAnsi="Arial"/>
              </w:rPr>
              <w:t>Sesgos de medición</w:t>
            </w:r>
            <w:r w:rsidRPr="00A42864">
              <w:rPr>
                <w:rFonts w:ascii="Arial" w:hAnsi="Arial"/>
              </w:rPr>
              <w:tab/>
            </w:r>
          </w:p>
          <w:p w:rsidR="00A42864" w:rsidRPr="00A42864" w:rsidRDefault="00A42864" w:rsidP="00420538">
            <w:pPr>
              <w:tabs>
                <w:tab w:val="left" w:pos="3510"/>
              </w:tabs>
              <w:rPr>
                <w:rFonts w:ascii="Arial" w:hAnsi="Arial"/>
              </w:rPr>
            </w:pPr>
          </w:p>
        </w:tc>
      </w:tr>
      <w:tr w:rsidR="00420538" w:rsidRPr="00A42864" w:rsidTr="00420538">
        <w:tc>
          <w:tcPr>
            <w:tcW w:w="4489" w:type="dxa"/>
          </w:tcPr>
          <w:p w:rsidR="00420538" w:rsidRPr="00A42864" w:rsidRDefault="00420538">
            <w:pPr>
              <w:rPr>
                <w:rFonts w:ascii="Arial" w:hAnsi="Arial"/>
              </w:rPr>
            </w:pPr>
          </w:p>
        </w:tc>
        <w:tc>
          <w:tcPr>
            <w:tcW w:w="4489" w:type="dxa"/>
          </w:tcPr>
          <w:p w:rsidR="00A42864" w:rsidRPr="00A42864" w:rsidRDefault="00A42864">
            <w:pPr>
              <w:rPr>
                <w:rFonts w:ascii="Arial" w:hAnsi="Arial"/>
              </w:rPr>
            </w:pPr>
          </w:p>
          <w:p w:rsidR="00420538" w:rsidRPr="00A42864" w:rsidRDefault="00420538">
            <w:pPr>
              <w:rPr>
                <w:rFonts w:ascii="Arial" w:hAnsi="Arial"/>
              </w:rPr>
            </w:pPr>
            <w:r w:rsidRPr="00A42864">
              <w:rPr>
                <w:rFonts w:ascii="Arial" w:hAnsi="Arial"/>
              </w:rPr>
              <w:t>Sesgos de confusión</w:t>
            </w:r>
          </w:p>
          <w:p w:rsidR="00A42864" w:rsidRPr="00A42864" w:rsidRDefault="00A42864">
            <w:pPr>
              <w:rPr>
                <w:rFonts w:ascii="Arial" w:hAnsi="Arial"/>
              </w:rPr>
            </w:pPr>
          </w:p>
        </w:tc>
      </w:tr>
      <w:tr w:rsidR="00A42864" w:rsidRPr="00A42864" w:rsidTr="00A42864">
        <w:trPr>
          <w:trHeight w:val="105"/>
        </w:trPr>
        <w:tc>
          <w:tcPr>
            <w:tcW w:w="4489" w:type="dxa"/>
            <w:vMerge w:val="restart"/>
          </w:tcPr>
          <w:p w:rsidR="00A42864" w:rsidRPr="00A42864" w:rsidRDefault="00A42864">
            <w:pPr>
              <w:rPr>
                <w:rFonts w:ascii="Arial" w:hAnsi="Arial"/>
              </w:rPr>
            </w:pPr>
          </w:p>
          <w:p w:rsidR="00A42864" w:rsidRPr="00A42864" w:rsidRDefault="00A42864">
            <w:pPr>
              <w:rPr>
                <w:rFonts w:ascii="Arial" w:hAnsi="Arial"/>
              </w:rPr>
            </w:pPr>
            <w:r w:rsidRPr="00A42864">
              <w:rPr>
                <w:rFonts w:ascii="Arial" w:hAnsi="Arial"/>
              </w:rPr>
              <w:t>Durante la planificación del estudio</w:t>
            </w:r>
          </w:p>
        </w:tc>
        <w:tc>
          <w:tcPr>
            <w:tcW w:w="4489" w:type="dxa"/>
          </w:tcPr>
          <w:p w:rsidR="00A42864" w:rsidRPr="00A42864" w:rsidRDefault="00A42864">
            <w:pPr>
              <w:rPr>
                <w:rFonts w:ascii="Arial" w:hAnsi="Arial"/>
              </w:rPr>
            </w:pPr>
          </w:p>
          <w:p w:rsidR="00A42864" w:rsidRPr="00A42864" w:rsidRDefault="00A42864">
            <w:pPr>
              <w:rPr>
                <w:rFonts w:ascii="Arial" w:hAnsi="Arial"/>
              </w:rPr>
            </w:pPr>
            <w:r w:rsidRPr="00A42864">
              <w:rPr>
                <w:rFonts w:ascii="Arial" w:hAnsi="Arial"/>
              </w:rPr>
              <w:t xml:space="preserve">Sesgos presupuestarios </w:t>
            </w:r>
          </w:p>
          <w:p w:rsidR="00A42864" w:rsidRPr="00A42864" w:rsidRDefault="00A42864">
            <w:pPr>
              <w:rPr>
                <w:rFonts w:ascii="Arial" w:hAnsi="Arial"/>
              </w:rPr>
            </w:pPr>
          </w:p>
        </w:tc>
      </w:tr>
      <w:tr w:rsidR="00A42864" w:rsidRPr="00A42864" w:rsidTr="00420538">
        <w:trPr>
          <w:trHeight w:val="105"/>
        </w:trPr>
        <w:tc>
          <w:tcPr>
            <w:tcW w:w="4489" w:type="dxa"/>
            <w:vMerge/>
          </w:tcPr>
          <w:p w:rsidR="00A42864" w:rsidRPr="00A42864" w:rsidRDefault="00A42864">
            <w:pPr>
              <w:rPr>
                <w:rFonts w:ascii="Arial" w:hAnsi="Arial"/>
              </w:rPr>
            </w:pPr>
          </w:p>
        </w:tc>
        <w:tc>
          <w:tcPr>
            <w:tcW w:w="4489" w:type="dxa"/>
          </w:tcPr>
          <w:p w:rsidR="00A42864" w:rsidRPr="00A42864" w:rsidRDefault="00A42864">
            <w:pPr>
              <w:rPr>
                <w:rFonts w:ascii="Arial" w:hAnsi="Arial"/>
              </w:rPr>
            </w:pPr>
          </w:p>
          <w:p w:rsidR="00A42864" w:rsidRPr="00A42864" w:rsidRDefault="00A42864">
            <w:pPr>
              <w:rPr>
                <w:rFonts w:ascii="Arial" w:hAnsi="Arial"/>
              </w:rPr>
            </w:pPr>
            <w:r w:rsidRPr="00A42864">
              <w:rPr>
                <w:rFonts w:ascii="Arial" w:hAnsi="Arial"/>
              </w:rPr>
              <w:t>Sesgos de evaluación inicial</w:t>
            </w:r>
          </w:p>
          <w:p w:rsidR="00A42864" w:rsidRPr="00A42864" w:rsidRDefault="00A42864">
            <w:pPr>
              <w:rPr>
                <w:rFonts w:ascii="Arial" w:hAnsi="Arial"/>
              </w:rPr>
            </w:pPr>
          </w:p>
        </w:tc>
      </w:tr>
      <w:tr w:rsidR="00A42864" w:rsidRPr="00A42864" w:rsidTr="00420538">
        <w:trPr>
          <w:trHeight w:val="105"/>
        </w:trPr>
        <w:tc>
          <w:tcPr>
            <w:tcW w:w="4489" w:type="dxa"/>
            <w:vMerge/>
          </w:tcPr>
          <w:p w:rsidR="00A42864" w:rsidRPr="00A42864" w:rsidRDefault="00A42864">
            <w:pPr>
              <w:rPr>
                <w:rFonts w:ascii="Arial" w:hAnsi="Arial"/>
              </w:rPr>
            </w:pPr>
          </w:p>
        </w:tc>
        <w:tc>
          <w:tcPr>
            <w:tcW w:w="4489" w:type="dxa"/>
          </w:tcPr>
          <w:p w:rsidR="00A42864" w:rsidRPr="00A42864" w:rsidRDefault="00A42864">
            <w:pPr>
              <w:rPr>
                <w:rFonts w:ascii="Arial" w:hAnsi="Arial"/>
              </w:rPr>
            </w:pPr>
          </w:p>
          <w:p w:rsidR="00A42864" w:rsidRPr="00A42864" w:rsidRDefault="00A42864">
            <w:pPr>
              <w:rPr>
                <w:rFonts w:ascii="Arial" w:hAnsi="Arial"/>
              </w:rPr>
            </w:pPr>
            <w:r w:rsidRPr="00A42864">
              <w:rPr>
                <w:rFonts w:ascii="Arial" w:hAnsi="Arial"/>
              </w:rPr>
              <w:t xml:space="preserve">Sesgos de concepto </w:t>
            </w:r>
          </w:p>
          <w:p w:rsidR="00A42864" w:rsidRPr="00A42864" w:rsidRDefault="00A42864">
            <w:pPr>
              <w:rPr>
                <w:rFonts w:ascii="Arial" w:hAnsi="Arial"/>
              </w:rPr>
            </w:pPr>
          </w:p>
        </w:tc>
      </w:tr>
      <w:tr w:rsidR="00A42864" w:rsidRPr="00A42864" w:rsidTr="00A42864">
        <w:trPr>
          <w:trHeight w:val="473"/>
        </w:trPr>
        <w:tc>
          <w:tcPr>
            <w:tcW w:w="4489" w:type="dxa"/>
            <w:vMerge w:val="restart"/>
          </w:tcPr>
          <w:p w:rsidR="00A42864" w:rsidRPr="00A42864" w:rsidRDefault="00A42864">
            <w:pPr>
              <w:rPr>
                <w:rFonts w:ascii="Arial" w:hAnsi="Arial"/>
              </w:rPr>
            </w:pPr>
          </w:p>
          <w:p w:rsidR="00A42864" w:rsidRDefault="00A42864">
            <w:pPr>
              <w:rPr>
                <w:rFonts w:ascii="Arial" w:hAnsi="Arial"/>
              </w:rPr>
            </w:pPr>
          </w:p>
          <w:p w:rsidR="00A42864" w:rsidRDefault="00A42864">
            <w:pPr>
              <w:rPr>
                <w:rFonts w:ascii="Arial" w:hAnsi="Arial"/>
              </w:rPr>
            </w:pPr>
          </w:p>
          <w:p w:rsidR="00A42864" w:rsidRPr="00A42864" w:rsidRDefault="00A42864">
            <w:pPr>
              <w:rPr>
                <w:rFonts w:ascii="Arial" w:hAnsi="Arial"/>
              </w:rPr>
            </w:pPr>
            <w:r w:rsidRPr="00A42864">
              <w:rPr>
                <w:rFonts w:ascii="Arial" w:hAnsi="Arial"/>
              </w:rPr>
              <w:t>Durante el proceso de muestreo</w:t>
            </w:r>
          </w:p>
          <w:p w:rsidR="00A42864" w:rsidRPr="00A42864" w:rsidRDefault="00A42864">
            <w:pPr>
              <w:rPr>
                <w:rFonts w:ascii="Arial" w:hAnsi="Arial"/>
              </w:rPr>
            </w:pPr>
          </w:p>
        </w:tc>
        <w:tc>
          <w:tcPr>
            <w:tcW w:w="4489" w:type="dxa"/>
          </w:tcPr>
          <w:p w:rsidR="00A42864" w:rsidRPr="00A42864" w:rsidRDefault="00A42864" w:rsidP="00A42864">
            <w:pPr>
              <w:rPr>
                <w:rFonts w:ascii="Arial" w:hAnsi="Arial"/>
                <w:lang w:val="es-MX"/>
              </w:rPr>
            </w:pPr>
          </w:p>
          <w:p w:rsidR="00A42864" w:rsidRPr="00A42864" w:rsidRDefault="00A42864" w:rsidP="00A42864">
            <w:pPr>
              <w:rPr>
                <w:rFonts w:ascii="Arial" w:hAnsi="Arial"/>
                <w:lang w:val="es-MX"/>
              </w:rPr>
            </w:pPr>
            <w:r w:rsidRPr="00A42864">
              <w:rPr>
                <w:rFonts w:ascii="Arial" w:hAnsi="Arial"/>
                <w:lang w:val="es-MX"/>
              </w:rPr>
              <w:t>Sesgos debidos a falta de representatividad de la población</w:t>
            </w:r>
          </w:p>
          <w:p w:rsidR="00A42864" w:rsidRPr="00A42864" w:rsidRDefault="00A42864" w:rsidP="00A42864">
            <w:pPr>
              <w:rPr>
                <w:rFonts w:ascii="Arial" w:hAnsi="Arial"/>
                <w:lang w:val="es-MX"/>
              </w:rPr>
            </w:pPr>
          </w:p>
        </w:tc>
      </w:tr>
      <w:tr w:rsidR="00A42864" w:rsidRPr="00A42864" w:rsidTr="00420538">
        <w:trPr>
          <w:trHeight w:val="472"/>
        </w:trPr>
        <w:tc>
          <w:tcPr>
            <w:tcW w:w="4489" w:type="dxa"/>
            <w:vMerge/>
          </w:tcPr>
          <w:p w:rsidR="00A42864" w:rsidRPr="00A42864" w:rsidRDefault="00A42864">
            <w:pPr>
              <w:rPr>
                <w:rFonts w:ascii="Arial" w:hAnsi="Arial"/>
              </w:rPr>
            </w:pPr>
          </w:p>
        </w:tc>
        <w:tc>
          <w:tcPr>
            <w:tcW w:w="4489" w:type="dxa"/>
          </w:tcPr>
          <w:p w:rsidR="00A42864" w:rsidRPr="00A42864" w:rsidRDefault="00A42864" w:rsidP="00A42864">
            <w:pPr>
              <w:rPr>
                <w:rFonts w:ascii="Arial" w:hAnsi="Arial"/>
                <w:lang w:val="es-MX"/>
              </w:rPr>
            </w:pPr>
          </w:p>
          <w:p w:rsidR="00A42864" w:rsidRPr="00A42864" w:rsidRDefault="00A42864" w:rsidP="00A42864">
            <w:pPr>
              <w:rPr>
                <w:rFonts w:ascii="Arial" w:hAnsi="Arial"/>
                <w:lang w:val="es-MX"/>
              </w:rPr>
            </w:pPr>
            <w:r w:rsidRPr="00A42864">
              <w:rPr>
                <w:rFonts w:ascii="Arial" w:hAnsi="Arial"/>
                <w:lang w:val="es-MX"/>
              </w:rPr>
              <w:t>Sesgos debidos a falta de representatividad de la muestra</w:t>
            </w:r>
          </w:p>
          <w:p w:rsidR="00A42864" w:rsidRPr="00A42864" w:rsidRDefault="00A42864" w:rsidP="00A42864">
            <w:pPr>
              <w:rPr>
                <w:rFonts w:ascii="Arial" w:hAnsi="Arial"/>
                <w:lang w:val="es-MX"/>
              </w:rPr>
            </w:pPr>
          </w:p>
        </w:tc>
      </w:tr>
      <w:tr w:rsidR="00A42864" w:rsidRPr="00A42864" w:rsidTr="00A42864">
        <w:trPr>
          <w:trHeight w:val="233"/>
        </w:trPr>
        <w:tc>
          <w:tcPr>
            <w:tcW w:w="4489" w:type="dxa"/>
            <w:vMerge w:val="restart"/>
          </w:tcPr>
          <w:p w:rsidR="00A42864" w:rsidRDefault="00A42864">
            <w:pPr>
              <w:rPr>
                <w:rFonts w:ascii="Arial" w:hAnsi="Arial"/>
              </w:rPr>
            </w:pPr>
          </w:p>
          <w:p w:rsidR="00A42864" w:rsidRDefault="00A42864">
            <w:pPr>
              <w:rPr>
                <w:rFonts w:ascii="Arial" w:hAnsi="Arial"/>
              </w:rPr>
            </w:pPr>
          </w:p>
          <w:p w:rsidR="00A42864" w:rsidRDefault="00A42864">
            <w:pPr>
              <w:rPr>
                <w:rFonts w:ascii="Arial" w:hAnsi="Arial"/>
              </w:rPr>
            </w:pPr>
          </w:p>
          <w:p w:rsidR="00A42864" w:rsidRDefault="00A42864">
            <w:pPr>
              <w:rPr>
                <w:rFonts w:ascii="Arial" w:hAnsi="Arial"/>
              </w:rPr>
            </w:pPr>
          </w:p>
          <w:p w:rsidR="00A42864" w:rsidRDefault="00A42864">
            <w:pPr>
              <w:rPr>
                <w:rFonts w:ascii="Arial" w:hAnsi="Arial"/>
              </w:rPr>
            </w:pPr>
          </w:p>
          <w:p w:rsidR="00A42864" w:rsidRDefault="00A42864">
            <w:pPr>
              <w:rPr>
                <w:rFonts w:ascii="Arial" w:hAnsi="Arial"/>
              </w:rPr>
            </w:pPr>
          </w:p>
          <w:p w:rsidR="00A42864" w:rsidRDefault="00A42864">
            <w:pPr>
              <w:rPr>
                <w:rFonts w:ascii="Arial" w:hAnsi="Arial"/>
              </w:rPr>
            </w:pPr>
          </w:p>
          <w:p w:rsidR="00A42864" w:rsidRDefault="00A42864">
            <w:pPr>
              <w:rPr>
                <w:rFonts w:ascii="Arial" w:hAnsi="Arial"/>
              </w:rPr>
            </w:pPr>
          </w:p>
          <w:p w:rsidR="00A42864" w:rsidRDefault="00A42864">
            <w:pPr>
              <w:rPr>
                <w:rFonts w:ascii="Arial" w:hAnsi="Arial"/>
              </w:rPr>
            </w:pPr>
            <w:r>
              <w:rPr>
                <w:rFonts w:ascii="Arial" w:hAnsi="Arial"/>
              </w:rPr>
              <w:t>Durante la recolección de datos</w:t>
            </w:r>
          </w:p>
          <w:p w:rsidR="00A42864" w:rsidRPr="00A42864" w:rsidRDefault="00A42864">
            <w:pPr>
              <w:rPr>
                <w:rFonts w:ascii="Arial" w:hAnsi="Arial"/>
              </w:rPr>
            </w:pPr>
          </w:p>
        </w:tc>
        <w:tc>
          <w:tcPr>
            <w:tcW w:w="4489" w:type="dxa"/>
          </w:tcPr>
          <w:p w:rsidR="00A42864" w:rsidRDefault="00A42864" w:rsidP="00A42864">
            <w:pPr>
              <w:rPr>
                <w:rFonts w:ascii="Arial" w:hAnsi="Arial"/>
                <w:lang w:val="es-MX"/>
              </w:rPr>
            </w:pPr>
          </w:p>
          <w:p w:rsidR="00A42864" w:rsidRDefault="00A42864" w:rsidP="00A42864">
            <w:pPr>
              <w:rPr>
                <w:rFonts w:ascii="Arial" w:hAnsi="Arial"/>
                <w:lang w:val="es-MX"/>
              </w:rPr>
            </w:pPr>
            <w:r>
              <w:rPr>
                <w:rFonts w:ascii="Arial" w:hAnsi="Arial"/>
                <w:lang w:val="es-MX"/>
              </w:rPr>
              <w:t>Sesgos debido al encuestado</w:t>
            </w:r>
          </w:p>
          <w:p w:rsidR="00A42864" w:rsidRPr="00A42864" w:rsidRDefault="00A42864" w:rsidP="00A42864">
            <w:pPr>
              <w:rPr>
                <w:rFonts w:ascii="Arial" w:hAnsi="Arial"/>
                <w:lang w:val="es-MX"/>
              </w:rPr>
            </w:pPr>
          </w:p>
        </w:tc>
      </w:tr>
      <w:tr w:rsidR="00A42864" w:rsidRPr="00A42864" w:rsidTr="00420538">
        <w:trPr>
          <w:trHeight w:val="230"/>
        </w:trPr>
        <w:tc>
          <w:tcPr>
            <w:tcW w:w="4489" w:type="dxa"/>
            <w:vMerge/>
          </w:tcPr>
          <w:p w:rsidR="00A42864" w:rsidRDefault="00A42864">
            <w:pPr>
              <w:rPr>
                <w:rFonts w:ascii="Arial" w:hAnsi="Arial"/>
              </w:rPr>
            </w:pPr>
          </w:p>
        </w:tc>
        <w:tc>
          <w:tcPr>
            <w:tcW w:w="4489" w:type="dxa"/>
          </w:tcPr>
          <w:p w:rsidR="00A42864" w:rsidRDefault="00A42864" w:rsidP="00A42864">
            <w:pPr>
              <w:rPr>
                <w:rFonts w:ascii="Arial" w:hAnsi="Arial"/>
                <w:lang w:val="es-MX"/>
              </w:rPr>
            </w:pPr>
          </w:p>
          <w:p w:rsidR="00A42864" w:rsidRDefault="00A42864" w:rsidP="00A42864">
            <w:pPr>
              <w:rPr>
                <w:rFonts w:ascii="Arial" w:hAnsi="Arial"/>
                <w:lang w:val="es-MX"/>
              </w:rPr>
            </w:pPr>
            <w:r>
              <w:rPr>
                <w:rFonts w:ascii="Arial" w:hAnsi="Arial"/>
                <w:lang w:val="es-MX"/>
              </w:rPr>
              <w:t>Sesgos por olvido</w:t>
            </w:r>
          </w:p>
          <w:p w:rsidR="00A42864" w:rsidRPr="00A42864" w:rsidRDefault="00A42864" w:rsidP="00A42864">
            <w:pPr>
              <w:rPr>
                <w:rFonts w:ascii="Arial" w:hAnsi="Arial"/>
                <w:lang w:val="es-MX"/>
              </w:rPr>
            </w:pPr>
          </w:p>
        </w:tc>
      </w:tr>
      <w:tr w:rsidR="00A42864" w:rsidRPr="00A42864" w:rsidTr="00420538">
        <w:trPr>
          <w:trHeight w:val="230"/>
        </w:trPr>
        <w:tc>
          <w:tcPr>
            <w:tcW w:w="4489" w:type="dxa"/>
            <w:vMerge/>
          </w:tcPr>
          <w:p w:rsidR="00A42864" w:rsidRDefault="00A42864">
            <w:pPr>
              <w:rPr>
                <w:rFonts w:ascii="Arial" w:hAnsi="Arial"/>
              </w:rPr>
            </w:pPr>
          </w:p>
        </w:tc>
        <w:tc>
          <w:tcPr>
            <w:tcW w:w="4489" w:type="dxa"/>
          </w:tcPr>
          <w:p w:rsidR="00A42864" w:rsidRDefault="00A42864" w:rsidP="00A42864">
            <w:pPr>
              <w:rPr>
                <w:rFonts w:ascii="Arial" w:hAnsi="Arial"/>
                <w:lang w:val="es-MX"/>
              </w:rPr>
            </w:pPr>
          </w:p>
          <w:p w:rsidR="00A42864" w:rsidRDefault="00A42864" w:rsidP="00A42864">
            <w:pPr>
              <w:rPr>
                <w:rFonts w:ascii="Arial" w:hAnsi="Arial"/>
                <w:lang w:val="es-MX"/>
              </w:rPr>
            </w:pPr>
            <w:r>
              <w:rPr>
                <w:rFonts w:ascii="Arial" w:hAnsi="Arial"/>
                <w:lang w:val="es-MX"/>
              </w:rPr>
              <w:t>Sesgos por subjetividad</w:t>
            </w:r>
          </w:p>
          <w:p w:rsidR="00A42864" w:rsidRPr="00A42864" w:rsidRDefault="00A42864" w:rsidP="00A42864">
            <w:pPr>
              <w:rPr>
                <w:rFonts w:ascii="Arial" w:hAnsi="Arial"/>
                <w:lang w:val="es-MX"/>
              </w:rPr>
            </w:pPr>
          </w:p>
        </w:tc>
      </w:tr>
      <w:tr w:rsidR="00A42864" w:rsidRPr="00A42864" w:rsidTr="00420538">
        <w:trPr>
          <w:trHeight w:val="230"/>
        </w:trPr>
        <w:tc>
          <w:tcPr>
            <w:tcW w:w="4489" w:type="dxa"/>
            <w:vMerge/>
          </w:tcPr>
          <w:p w:rsidR="00A42864" w:rsidRDefault="00A42864">
            <w:pPr>
              <w:rPr>
                <w:rFonts w:ascii="Arial" w:hAnsi="Arial"/>
              </w:rPr>
            </w:pPr>
          </w:p>
        </w:tc>
        <w:tc>
          <w:tcPr>
            <w:tcW w:w="4489" w:type="dxa"/>
          </w:tcPr>
          <w:p w:rsidR="00A42864" w:rsidRDefault="00A42864" w:rsidP="00A42864">
            <w:pPr>
              <w:rPr>
                <w:rFonts w:ascii="Arial" w:hAnsi="Arial"/>
                <w:lang w:val="es-MX"/>
              </w:rPr>
            </w:pPr>
          </w:p>
          <w:p w:rsidR="00A42864" w:rsidRDefault="00A42864" w:rsidP="00A42864">
            <w:pPr>
              <w:rPr>
                <w:rFonts w:ascii="Arial" w:hAnsi="Arial"/>
                <w:lang w:val="es-MX"/>
              </w:rPr>
            </w:pPr>
            <w:r>
              <w:rPr>
                <w:rFonts w:ascii="Arial" w:hAnsi="Arial"/>
                <w:lang w:val="es-MX"/>
              </w:rPr>
              <w:t>Sesgos por confusión e ignorancia</w:t>
            </w:r>
          </w:p>
          <w:p w:rsidR="00A42864" w:rsidRDefault="00A42864" w:rsidP="00A42864">
            <w:pPr>
              <w:rPr>
                <w:rFonts w:ascii="Arial" w:hAnsi="Arial"/>
                <w:lang w:val="es-MX"/>
              </w:rPr>
            </w:pPr>
          </w:p>
        </w:tc>
      </w:tr>
      <w:tr w:rsidR="00A42864" w:rsidRPr="00A42864" w:rsidTr="00420538">
        <w:trPr>
          <w:trHeight w:val="230"/>
        </w:trPr>
        <w:tc>
          <w:tcPr>
            <w:tcW w:w="4489" w:type="dxa"/>
            <w:vMerge/>
          </w:tcPr>
          <w:p w:rsidR="00A42864" w:rsidRDefault="00A42864">
            <w:pPr>
              <w:rPr>
                <w:rFonts w:ascii="Arial" w:hAnsi="Arial"/>
              </w:rPr>
            </w:pPr>
          </w:p>
        </w:tc>
        <w:tc>
          <w:tcPr>
            <w:tcW w:w="4489" w:type="dxa"/>
          </w:tcPr>
          <w:p w:rsidR="00A42864" w:rsidRDefault="00A42864" w:rsidP="00A42864">
            <w:pPr>
              <w:rPr>
                <w:rFonts w:ascii="Arial" w:hAnsi="Arial"/>
                <w:lang w:val="es-MX"/>
              </w:rPr>
            </w:pPr>
          </w:p>
          <w:p w:rsidR="00A42864" w:rsidRDefault="00A42864" w:rsidP="00A42864">
            <w:pPr>
              <w:rPr>
                <w:rFonts w:ascii="Arial" w:hAnsi="Arial"/>
                <w:lang w:val="es-MX"/>
              </w:rPr>
            </w:pPr>
            <w:r>
              <w:rPr>
                <w:rFonts w:ascii="Arial" w:hAnsi="Arial"/>
                <w:lang w:val="es-MX"/>
              </w:rPr>
              <w:t>Sesgos por medición</w:t>
            </w:r>
          </w:p>
          <w:p w:rsidR="00A42864" w:rsidRPr="00A42864" w:rsidRDefault="00A42864" w:rsidP="00A42864">
            <w:pPr>
              <w:rPr>
                <w:rFonts w:ascii="Arial" w:hAnsi="Arial"/>
                <w:lang w:val="es-MX"/>
              </w:rPr>
            </w:pPr>
          </w:p>
        </w:tc>
      </w:tr>
      <w:tr w:rsidR="00A42864" w:rsidRPr="00A42864" w:rsidTr="00420538">
        <w:trPr>
          <w:trHeight w:val="230"/>
        </w:trPr>
        <w:tc>
          <w:tcPr>
            <w:tcW w:w="4489" w:type="dxa"/>
            <w:vMerge/>
          </w:tcPr>
          <w:p w:rsidR="00A42864" w:rsidRDefault="00A42864">
            <w:pPr>
              <w:rPr>
                <w:rFonts w:ascii="Arial" w:hAnsi="Arial"/>
              </w:rPr>
            </w:pPr>
          </w:p>
        </w:tc>
        <w:tc>
          <w:tcPr>
            <w:tcW w:w="4489" w:type="dxa"/>
          </w:tcPr>
          <w:p w:rsidR="00A42864" w:rsidRDefault="00A42864" w:rsidP="00A42864">
            <w:pPr>
              <w:rPr>
                <w:rFonts w:ascii="Arial" w:hAnsi="Arial"/>
                <w:lang w:val="es-MX"/>
              </w:rPr>
            </w:pPr>
          </w:p>
          <w:p w:rsidR="00A42864" w:rsidRDefault="00A42864" w:rsidP="00A42864">
            <w:pPr>
              <w:rPr>
                <w:rFonts w:ascii="Arial" w:hAnsi="Arial"/>
                <w:lang w:val="es-MX"/>
              </w:rPr>
            </w:pPr>
            <w:r>
              <w:rPr>
                <w:rFonts w:ascii="Arial" w:hAnsi="Arial"/>
                <w:lang w:val="es-MX"/>
              </w:rPr>
              <w:t>Sesgos por abandono</w:t>
            </w:r>
          </w:p>
          <w:p w:rsidR="00A42864" w:rsidRPr="00A42864" w:rsidRDefault="00A42864" w:rsidP="00A42864">
            <w:pPr>
              <w:rPr>
                <w:rFonts w:ascii="Arial" w:hAnsi="Arial"/>
                <w:lang w:val="es-MX"/>
              </w:rPr>
            </w:pPr>
          </w:p>
        </w:tc>
      </w:tr>
    </w:tbl>
    <w:p w:rsidR="00043495" w:rsidRDefault="00043495">
      <w:pPr>
        <w:rPr>
          <w:rFonts w:ascii="Arial" w:hAnsi="Arial"/>
        </w:rPr>
      </w:pPr>
    </w:p>
    <w:p w:rsidR="00043495" w:rsidRDefault="00043495">
      <w:pPr>
        <w:rPr>
          <w:rFonts w:ascii="Arial" w:hAnsi="Arial"/>
        </w:rPr>
      </w:pPr>
    </w:p>
    <w:p w:rsidR="00043495" w:rsidRDefault="00043495">
      <w:pPr>
        <w:rPr>
          <w:rFonts w:ascii="Arial" w:hAnsi="Arial"/>
        </w:rPr>
      </w:pPr>
      <w:r w:rsidRPr="00043495">
        <w:rPr>
          <w:rFonts w:ascii="Arial" w:hAnsi="Arial"/>
        </w:rPr>
        <w:t>BIBLIOGRFÍA:</w:t>
      </w:r>
    </w:p>
    <w:p w:rsidR="00043495" w:rsidRPr="00043495" w:rsidRDefault="00043495">
      <w:pPr>
        <w:rPr>
          <w:rFonts w:ascii="Arial" w:hAnsi="Arial"/>
        </w:rPr>
      </w:pPr>
    </w:p>
    <w:p w:rsidR="00043495" w:rsidRDefault="00043495" w:rsidP="00043495">
      <w:pPr>
        <w:pStyle w:val="Prrafodelista"/>
        <w:numPr>
          <w:ilvl w:val="0"/>
          <w:numId w:val="2"/>
        </w:numPr>
        <w:rPr>
          <w:rFonts w:ascii="Arial" w:hAnsi="Arial"/>
          <w:lang w:val="es-MX"/>
        </w:rPr>
      </w:pPr>
      <w:r w:rsidRPr="00043495">
        <w:rPr>
          <w:rFonts w:ascii="Arial" w:hAnsi="Arial"/>
          <w:lang w:val="es-MX"/>
        </w:rPr>
        <w:t>MANTEROLA, C. &amp; OTZEN, T. Los sesgos en investigación clínica. Int. J. Morphol., 33(3):1156-1164, 2015.</w:t>
      </w:r>
    </w:p>
    <w:p w:rsidR="00043495" w:rsidRPr="00043495" w:rsidRDefault="00043495" w:rsidP="00043495">
      <w:pPr>
        <w:pStyle w:val="Prrafodelista"/>
        <w:rPr>
          <w:rFonts w:ascii="Arial" w:hAnsi="Arial"/>
          <w:lang w:val="es-MX"/>
        </w:rPr>
      </w:pPr>
    </w:p>
    <w:p w:rsidR="00043495" w:rsidRDefault="00043495" w:rsidP="00043495">
      <w:pPr>
        <w:pStyle w:val="Prrafodelista"/>
        <w:numPr>
          <w:ilvl w:val="0"/>
          <w:numId w:val="2"/>
        </w:numPr>
        <w:rPr>
          <w:rFonts w:ascii="Arial" w:hAnsi="Arial"/>
          <w:bCs/>
          <w:lang w:val="es-MX"/>
        </w:rPr>
      </w:pPr>
      <w:r w:rsidRPr="00043495">
        <w:rPr>
          <w:rFonts w:ascii="Arial" w:hAnsi="Arial"/>
          <w:bCs/>
          <w:lang w:val="es-MX"/>
        </w:rPr>
        <w:t>LETELIER, L &amp; MOORE, P. Rev. méd. Chile v.131 n.8 Santiago ago. 2003</w:t>
      </w:r>
      <w:r>
        <w:rPr>
          <w:rFonts w:ascii="Arial" w:hAnsi="Arial"/>
          <w:bCs/>
          <w:lang w:val="es-MX"/>
        </w:rPr>
        <w:t>.</w:t>
      </w:r>
    </w:p>
    <w:p w:rsidR="00043495" w:rsidRPr="00043495" w:rsidRDefault="00043495" w:rsidP="00043495">
      <w:pPr>
        <w:rPr>
          <w:rFonts w:ascii="Arial" w:hAnsi="Arial"/>
          <w:bCs/>
          <w:lang w:val="es-MX"/>
        </w:rPr>
      </w:pPr>
    </w:p>
    <w:p w:rsidR="00043495" w:rsidRPr="00043495" w:rsidRDefault="00043495" w:rsidP="00043495">
      <w:pPr>
        <w:pStyle w:val="Prrafodelista"/>
        <w:numPr>
          <w:ilvl w:val="0"/>
          <w:numId w:val="2"/>
        </w:numPr>
        <w:rPr>
          <w:rFonts w:ascii="Arial" w:hAnsi="Arial"/>
          <w:bCs/>
          <w:lang w:val="es-MX"/>
        </w:rPr>
      </w:pPr>
      <w:r>
        <w:rPr>
          <w:rFonts w:ascii="Arial" w:hAnsi="Arial"/>
          <w:bCs/>
          <w:lang w:val="es-MX"/>
        </w:rPr>
        <w:t xml:space="preserve">LARA, K ET AL. Importancia de la medicina basada en evidencias en la practica clínica cotidiana. Medica Sur, </w:t>
      </w:r>
      <w:r w:rsidRPr="00043495">
        <w:rPr>
          <w:rFonts w:ascii="Arial" w:hAnsi="Arial"/>
          <w:lang w:val="es-MX"/>
        </w:rPr>
        <w:t>Vol. 14, núm. 1, Enero-Marzo 2007</w:t>
      </w:r>
      <w:r>
        <w:rPr>
          <w:rFonts w:ascii="Arial" w:hAnsi="Arial"/>
          <w:lang w:val="es-MX"/>
        </w:rPr>
        <w:t>.</w:t>
      </w:r>
    </w:p>
    <w:sectPr w:rsidR="00043495" w:rsidRPr="00043495" w:rsidSect="001029E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495" w:rsidRDefault="00043495" w:rsidP="00420538">
      <w:r>
        <w:separator/>
      </w:r>
    </w:p>
  </w:endnote>
  <w:endnote w:type="continuationSeparator" w:id="0">
    <w:p w:rsidR="00043495" w:rsidRDefault="00043495" w:rsidP="0042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95" w:rsidRPr="00725C4C" w:rsidRDefault="00725C4C" w:rsidP="00420538">
    <w:pPr>
      <w:pStyle w:val="Piedepgina"/>
      <w:jc w:val="right"/>
      <w:rPr>
        <w:rFonts w:ascii="Arial" w:hAnsi="Arial"/>
        <w:b/>
      </w:rPr>
    </w:pPr>
    <w:r w:rsidRPr="00725C4C">
      <w:rPr>
        <w:rFonts w:ascii="Arial" w:hAnsi="Arial"/>
        <w:b/>
        <w:noProof/>
        <w:lang w:val="es-ES"/>
      </w:rPr>
      <w:drawing>
        <wp:anchor distT="0" distB="0" distL="114300" distR="114300" simplePos="0" relativeHeight="251659264" behindDoc="0" locked="0" layoutInCell="1" allowOverlap="1" wp14:anchorId="5DB899F4" wp14:editId="0DF707CD">
          <wp:simplePos x="0" y="0"/>
          <wp:positionH relativeFrom="column">
            <wp:posOffset>-114300</wp:posOffset>
          </wp:positionH>
          <wp:positionV relativeFrom="paragraph">
            <wp:posOffset>-532765</wp:posOffset>
          </wp:positionV>
          <wp:extent cx="1214755" cy="1214755"/>
          <wp:effectExtent l="0" t="0" r="4445"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755" cy="12147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495" w:rsidRPr="00725C4C">
      <w:rPr>
        <w:rFonts w:ascii="Arial" w:hAnsi="Arial"/>
        <w:b/>
      </w:rPr>
      <w:t>Héctor Alonso Tirado Ornelas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495" w:rsidRDefault="00043495" w:rsidP="00420538">
      <w:r>
        <w:separator/>
      </w:r>
    </w:p>
  </w:footnote>
  <w:footnote w:type="continuationSeparator" w:id="0">
    <w:p w:rsidR="00043495" w:rsidRDefault="00043495" w:rsidP="004205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95" w:rsidRPr="00725C4C" w:rsidRDefault="00043495" w:rsidP="00420538">
    <w:pPr>
      <w:pStyle w:val="Encabezado"/>
      <w:jc w:val="center"/>
      <w:rPr>
        <w:rFonts w:ascii="Arial" w:hAnsi="Arial"/>
        <w:b/>
        <w:sz w:val="38"/>
        <w:szCs w:val="38"/>
      </w:rPr>
    </w:pPr>
    <w:r w:rsidRPr="00725C4C">
      <w:rPr>
        <w:rFonts w:ascii="Arial" w:hAnsi="Arial"/>
        <w:b/>
        <w:sz w:val="38"/>
        <w:szCs w:val="38"/>
      </w:rPr>
      <w:t>ACTIVIDAD PRELIMINAR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6463"/>
    <w:multiLevelType w:val="hybridMultilevel"/>
    <w:tmpl w:val="D9042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F1584D"/>
    <w:multiLevelType w:val="hybridMultilevel"/>
    <w:tmpl w:val="9E801D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38"/>
    <w:rsid w:val="00043495"/>
    <w:rsid w:val="001029ED"/>
    <w:rsid w:val="00420538"/>
    <w:rsid w:val="00725C4C"/>
    <w:rsid w:val="00A4286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582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043495"/>
    <w:pPr>
      <w:spacing w:before="100" w:beforeAutospacing="1" w:after="100" w:afterAutospacing="1"/>
      <w:outlineLvl w:val="2"/>
    </w:pPr>
    <w:rPr>
      <w:rFonts w:ascii="Times" w:hAnsi="Times"/>
      <w:b/>
      <w:bCs/>
      <w:sz w:val="27"/>
      <w:szCs w:val="27"/>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0538"/>
    <w:pPr>
      <w:ind w:left="720"/>
      <w:contextualSpacing/>
    </w:pPr>
  </w:style>
  <w:style w:type="paragraph" w:styleId="Encabezado">
    <w:name w:val="header"/>
    <w:basedOn w:val="Normal"/>
    <w:link w:val="EncabezadoCar"/>
    <w:uiPriority w:val="99"/>
    <w:unhideWhenUsed/>
    <w:rsid w:val="00420538"/>
    <w:pPr>
      <w:tabs>
        <w:tab w:val="center" w:pos="4252"/>
        <w:tab w:val="right" w:pos="8504"/>
      </w:tabs>
    </w:pPr>
  </w:style>
  <w:style w:type="character" w:customStyle="1" w:styleId="EncabezadoCar">
    <w:name w:val="Encabezado Car"/>
    <w:basedOn w:val="Fuentedeprrafopredeter"/>
    <w:link w:val="Encabezado"/>
    <w:uiPriority w:val="99"/>
    <w:rsid w:val="00420538"/>
  </w:style>
  <w:style w:type="paragraph" w:styleId="Piedepgina">
    <w:name w:val="footer"/>
    <w:basedOn w:val="Normal"/>
    <w:link w:val="PiedepginaCar"/>
    <w:uiPriority w:val="99"/>
    <w:unhideWhenUsed/>
    <w:rsid w:val="00420538"/>
    <w:pPr>
      <w:tabs>
        <w:tab w:val="center" w:pos="4252"/>
        <w:tab w:val="right" w:pos="8504"/>
      </w:tabs>
    </w:pPr>
  </w:style>
  <w:style w:type="character" w:customStyle="1" w:styleId="PiedepginaCar">
    <w:name w:val="Pie de página Car"/>
    <w:basedOn w:val="Fuentedeprrafopredeter"/>
    <w:link w:val="Piedepgina"/>
    <w:uiPriority w:val="99"/>
    <w:rsid w:val="00420538"/>
  </w:style>
  <w:style w:type="table" w:styleId="Tablaconcuadrcula">
    <w:name w:val="Table Grid"/>
    <w:basedOn w:val="Tablanormal"/>
    <w:uiPriority w:val="59"/>
    <w:rsid w:val="004205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043495"/>
    <w:rPr>
      <w:rFonts w:ascii="Times" w:hAnsi="Times"/>
      <w:b/>
      <w:bCs/>
      <w:sz w:val="27"/>
      <w:szCs w:val="27"/>
      <w:lang w:val="es-MX"/>
    </w:rPr>
  </w:style>
  <w:style w:type="paragraph" w:styleId="Textodeglobo">
    <w:name w:val="Balloon Text"/>
    <w:basedOn w:val="Normal"/>
    <w:link w:val="TextodegloboCar"/>
    <w:uiPriority w:val="99"/>
    <w:semiHidden/>
    <w:unhideWhenUsed/>
    <w:rsid w:val="00725C4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25C4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043495"/>
    <w:pPr>
      <w:spacing w:before="100" w:beforeAutospacing="1" w:after="100" w:afterAutospacing="1"/>
      <w:outlineLvl w:val="2"/>
    </w:pPr>
    <w:rPr>
      <w:rFonts w:ascii="Times" w:hAnsi="Times"/>
      <w:b/>
      <w:bCs/>
      <w:sz w:val="27"/>
      <w:szCs w:val="27"/>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0538"/>
    <w:pPr>
      <w:ind w:left="720"/>
      <w:contextualSpacing/>
    </w:pPr>
  </w:style>
  <w:style w:type="paragraph" w:styleId="Encabezado">
    <w:name w:val="header"/>
    <w:basedOn w:val="Normal"/>
    <w:link w:val="EncabezadoCar"/>
    <w:uiPriority w:val="99"/>
    <w:unhideWhenUsed/>
    <w:rsid w:val="00420538"/>
    <w:pPr>
      <w:tabs>
        <w:tab w:val="center" w:pos="4252"/>
        <w:tab w:val="right" w:pos="8504"/>
      </w:tabs>
    </w:pPr>
  </w:style>
  <w:style w:type="character" w:customStyle="1" w:styleId="EncabezadoCar">
    <w:name w:val="Encabezado Car"/>
    <w:basedOn w:val="Fuentedeprrafopredeter"/>
    <w:link w:val="Encabezado"/>
    <w:uiPriority w:val="99"/>
    <w:rsid w:val="00420538"/>
  </w:style>
  <w:style w:type="paragraph" w:styleId="Piedepgina">
    <w:name w:val="footer"/>
    <w:basedOn w:val="Normal"/>
    <w:link w:val="PiedepginaCar"/>
    <w:uiPriority w:val="99"/>
    <w:unhideWhenUsed/>
    <w:rsid w:val="00420538"/>
    <w:pPr>
      <w:tabs>
        <w:tab w:val="center" w:pos="4252"/>
        <w:tab w:val="right" w:pos="8504"/>
      </w:tabs>
    </w:pPr>
  </w:style>
  <w:style w:type="character" w:customStyle="1" w:styleId="PiedepginaCar">
    <w:name w:val="Pie de página Car"/>
    <w:basedOn w:val="Fuentedeprrafopredeter"/>
    <w:link w:val="Piedepgina"/>
    <w:uiPriority w:val="99"/>
    <w:rsid w:val="00420538"/>
  </w:style>
  <w:style w:type="table" w:styleId="Tablaconcuadrcula">
    <w:name w:val="Table Grid"/>
    <w:basedOn w:val="Tablanormal"/>
    <w:uiPriority w:val="59"/>
    <w:rsid w:val="004205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043495"/>
    <w:rPr>
      <w:rFonts w:ascii="Times" w:hAnsi="Times"/>
      <w:b/>
      <w:bCs/>
      <w:sz w:val="27"/>
      <w:szCs w:val="27"/>
      <w:lang w:val="es-MX"/>
    </w:rPr>
  </w:style>
  <w:style w:type="paragraph" w:styleId="Textodeglobo">
    <w:name w:val="Balloon Text"/>
    <w:basedOn w:val="Normal"/>
    <w:link w:val="TextodegloboCar"/>
    <w:uiPriority w:val="99"/>
    <w:semiHidden/>
    <w:unhideWhenUsed/>
    <w:rsid w:val="00725C4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25C4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0470">
      <w:bodyDiv w:val="1"/>
      <w:marLeft w:val="0"/>
      <w:marRight w:val="0"/>
      <w:marTop w:val="0"/>
      <w:marBottom w:val="0"/>
      <w:divBdr>
        <w:top w:val="none" w:sz="0" w:space="0" w:color="auto"/>
        <w:left w:val="none" w:sz="0" w:space="0" w:color="auto"/>
        <w:bottom w:val="none" w:sz="0" w:space="0" w:color="auto"/>
        <w:right w:val="none" w:sz="0" w:space="0" w:color="auto"/>
      </w:divBdr>
    </w:div>
    <w:div w:id="331883498">
      <w:bodyDiv w:val="1"/>
      <w:marLeft w:val="0"/>
      <w:marRight w:val="0"/>
      <w:marTop w:val="0"/>
      <w:marBottom w:val="0"/>
      <w:divBdr>
        <w:top w:val="none" w:sz="0" w:space="0" w:color="auto"/>
        <w:left w:val="none" w:sz="0" w:space="0" w:color="auto"/>
        <w:bottom w:val="none" w:sz="0" w:space="0" w:color="auto"/>
        <w:right w:val="none" w:sz="0" w:space="0" w:color="auto"/>
      </w:divBdr>
    </w:div>
    <w:div w:id="715816110">
      <w:bodyDiv w:val="1"/>
      <w:marLeft w:val="0"/>
      <w:marRight w:val="0"/>
      <w:marTop w:val="0"/>
      <w:marBottom w:val="0"/>
      <w:divBdr>
        <w:top w:val="none" w:sz="0" w:space="0" w:color="auto"/>
        <w:left w:val="none" w:sz="0" w:space="0" w:color="auto"/>
        <w:bottom w:val="none" w:sz="0" w:space="0" w:color="auto"/>
        <w:right w:val="none" w:sz="0" w:space="0" w:color="auto"/>
      </w:divBdr>
    </w:div>
    <w:div w:id="1335307013">
      <w:bodyDiv w:val="1"/>
      <w:marLeft w:val="0"/>
      <w:marRight w:val="0"/>
      <w:marTop w:val="0"/>
      <w:marBottom w:val="0"/>
      <w:divBdr>
        <w:top w:val="none" w:sz="0" w:space="0" w:color="auto"/>
        <w:left w:val="none" w:sz="0" w:space="0" w:color="auto"/>
        <w:bottom w:val="none" w:sz="0" w:space="0" w:color="auto"/>
        <w:right w:val="none" w:sz="0" w:space="0" w:color="auto"/>
      </w:divBdr>
    </w:div>
    <w:div w:id="1972007587">
      <w:bodyDiv w:val="1"/>
      <w:marLeft w:val="0"/>
      <w:marRight w:val="0"/>
      <w:marTop w:val="0"/>
      <w:marBottom w:val="0"/>
      <w:divBdr>
        <w:top w:val="none" w:sz="0" w:space="0" w:color="auto"/>
        <w:left w:val="none" w:sz="0" w:space="0" w:color="auto"/>
        <w:bottom w:val="none" w:sz="0" w:space="0" w:color="auto"/>
        <w:right w:val="none" w:sz="0" w:space="0" w:color="auto"/>
      </w:divBdr>
    </w:div>
    <w:div w:id="2052533568">
      <w:bodyDiv w:val="1"/>
      <w:marLeft w:val="0"/>
      <w:marRight w:val="0"/>
      <w:marTop w:val="0"/>
      <w:marBottom w:val="0"/>
      <w:divBdr>
        <w:top w:val="none" w:sz="0" w:space="0" w:color="auto"/>
        <w:left w:val="none" w:sz="0" w:space="0" w:color="auto"/>
        <w:bottom w:val="none" w:sz="0" w:space="0" w:color="auto"/>
        <w:right w:val="none" w:sz="0" w:space="0" w:color="auto"/>
      </w:divBdr>
    </w:div>
    <w:div w:id="2107576889">
      <w:bodyDiv w:val="1"/>
      <w:marLeft w:val="0"/>
      <w:marRight w:val="0"/>
      <w:marTop w:val="0"/>
      <w:marBottom w:val="0"/>
      <w:divBdr>
        <w:top w:val="none" w:sz="0" w:space="0" w:color="auto"/>
        <w:left w:val="none" w:sz="0" w:space="0" w:color="auto"/>
        <w:bottom w:val="none" w:sz="0" w:space="0" w:color="auto"/>
        <w:right w:val="none" w:sz="0" w:space="0" w:color="auto"/>
      </w:divBdr>
    </w:div>
    <w:div w:id="2141727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499</Words>
  <Characters>2746</Characters>
  <Application>Microsoft Macintosh Word</Application>
  <DocSecurity>0</DocSecurity>
  <Lines>22</Lines>
  <Paragraphs>6</Paragraphs>
  <ScaleCrop>false</ScaleCrop>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Alonso</dc:creator>
  <cp:keywords/>
  <dc:description/>
  <cp:lastModifiedBy>Hector Alonso</cp:lastModifiedBy>
  <cp:revision>1</cp:revision>
  <dcterms:created xsi:type="dcterms:W3CDTF">2016-02-18T03:22:00Z</dcterms:created>
  <dcterms:modified xsi:type="dcterms:W3CDTF">2016-02-18T04:12:00Z</dcterms:modified>
</cp:coreProperties>
</file>