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80" w:rsidRPr="00992E80" w:rsidRDefault="00992E80" w:rsidP="00992E80">
      <w:pPr>
        <w:jc w:val="right"/>
        <w:rPr>
          <w:rFonts w:ascii="Arial" w:hAnsi="Arial" w:cs="Arial"/>
          <w:sz w:val="18"/>
          <w:szCs w:val="18"/>
        </w:rPr>
      </w:pPr>
      <w:bookmarkStart w:id="0" w:name="_GoBack"/>
      <w:r>
        <w:rPr>
          <w:noProof/>
          <w:lang w:eastAsia="es-MX"/>
        </w:rPr>
        <w:drawing>
          <wp:anchor distT="0" distB="0" distL="114300" distR="114300" simplePos="0" relativeHeight="251658240" behindDoc="1" locked="0" layoutInCell="1" allowOverlap="1" wp14:anchorId="15C5D58B" wp14:editId="619DF569">
            <wp:simplePos x="0" y="0"/>
            <wp:positionH relativeFrom="column">
              <wp:posOffset>70821</wp:posOffset>
            </wp:positionH>
            <wp:positionV relativeFrom="paragraph">
              <wp:posOffset>14755</wp:posOffset>
            </wp:positionV>
            <wp:extent cx="1667510" cy="527050"/>
            <wp:effectExtent l="0" t="0" r="8890" b="6350"/>
            <wp:wrapNone/>
            <wp:docPr id="1" name="Imagen 1" descr="https://encrypted-tbn1.gstatic.com/images?q=tbn:ANd9GcSWx4Dkv-ywcBVNGg2IV3P134dWYHQG5AzHT1th0empgq9Rwk5gd99MKS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Wx4Dkv-ywcBVNGg2IV3P134dWYHQG5AzHT1th0empgq9Rwk5gd99MKSb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7510" cy="527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992E80">
        <w:rPr>
          <w:rFonts w:ascii="Arial" w:hAnsi="Arial" w:cs="Arial"/>
          <w:sz w:val="18"/>
          <w:szCs w:val="18"/>
        </w:rPr>
        <w:t>María José Rubio Gtz.</w:t>
      </w:r>
    </w:p>
    <w:p w:rsidR="00992E80" w:rsidRPr="00992E80" w:rsidRDefault="00992E80" w:rsidP="00992E80">
      <w:pPr>
        <w:jc w:val="right"/>
        <w:rPr>
          <w:rFonts w:ascii="Arial" w:hAnsi="Arial" w:cs="Arial"/>
          <w:sz w:val="18"/>
          <w:szCs w:val="18"/>
        </w:rPr>
      </w:pPr>
      <w:r w:rsidRPr="00992E80">
        <w:rPr>
          <w:rFonts w:ascii="Arial" w:hAnsi="Arial" w:cs="Arial"/>
          <w:sz w:val="18"/>
          <w:szCs w:val="18"/>
        </w:rPr>
        <w:t>Lme4029</w:t>
      </w:r>
    </w:p>
    <w:p w:rsidR="00992E80" w:rsidRPr="00992E80" w:rsidRDefault="00992E80" w:rsidP="00992E80">
      <w:pPr>
        <w:jc w:val="right"/>
        <w:rPr>
          <w:rFonts w:ascii="Arial" w:hAnsi="Arial" w:cs="Arial"/>
          <w:sz w:val="18"/>
          <w:szCs w:val="18"/>
        </w:rPr>
      </w:pPr>
      <w:r w:rsidRPr="00992E80">
        <w:rPr>
          <w:rFonts w:ascii="Arial" w:hAnsi="Arial" w:cs="Arial"/>
          <w:sz w:val="18"/>
          <w:szCs w:val="18"/>
        </w:rPr>
        <w:t xml:space="preserve">Medicina basada en evidencias </w:t>
      </w:r>
    </w:p>
    <w:p w:rsidR="00992E80" w:rsidRPr="00992E80" w:rsidRDefault="00992E80" w:rsidP="00992E80">
      <w:pPr>
        <w:jc w:val="right"/>
        <w:rPr>
          <w:rFonts w:ascii="Arial" w:hAnsi="Arial" w:cs="Arial"/>
          <w:sz w:val="18"/>
          <w:szCs w:val="18"/>
        </w:rPr>
      </w:pPr>
    </w:p>
    <w:p w:rsidR="00E4387A" w:rsidRPr="00E4387A" w:rsidRDefault="00E4387A" w:rsidP="00E4387A">
      <w:pPr>
        <w:jc w:val="both"/>
        <w:rPr>
          <w:rFonts w:ascii="Arial" w:hAnsi="Arial" w:cs="Arial"/>
          <w:sz w:val="32"/>
          <w:szCs w:val="32"/>
        </w:rPr>
      </w:pPr>
      <w:r w:rsidRPr="00E4387A">
        <w:rPr>
          <w:rFonts w:ascii="Arial" w:hAnsi="Arial" w:cs="Arial"/>
          <w:sz w:val="32"/>
          <w:szCs w:val="32"/>
        </w:rPr>
        <w:t xml:space="preserve">HISTORIA DE LA MEDICINA BASADA EN EVIDENCIAS </w:t>
      </w:r>
    </w:p>
    <w:p w:rsidR="00E4387A" w:rsidRDefault="00E4387A" w:rsidP="00E4387A">
      <w:pPr>
        <w:jc w:val="both"/>
        <w:rPr>
          <w:rFonts w:ascii="Arial" w:hAnsi="Arial" w:cs="Arial"/>
          <w:sz w:val="24"/>
          <w:szCs w:val="24"/>
        </w:rPr>
      </w:pPr>
    </w:p>
    <w:p w:rsidR="00931F5E" w:rsidRPr="00C8335C" w:rsidRDefault="00F90101" w:rsidP="00E4387A">
      <w:pPr>
        <w:jc w:val="both"/>
        <w:rPr>
          <w:rFonts w:ascii="Arial" w:hAnsi="Arial" w:cs="Arial"/>
          <w:sz w:val="24"/>
          <w:szCs w:val="24"/>
        </w:rPr>
      </w:pPr>
      <w:r w:rsidRPr="00C8335C">
        <w:rPr>
          <w:rFonts w:ascii="Arial" w:hAnsi="Arial" w:cs="Arial"/>
          <w:sz w:val="24"/>
          <w:szCs w:val="24"/>
        </w:rPr>
        <w:t>La Medicina Basada en la Evidencia ha sido definida como el uso consciente, explícito y juicioso de la mejor evidencia. El avance tecnológico y la magnitud de información que actualmente un médico debe conocer para basar sus decisiones en la mejor evidencia hacen necesario que sesistematice la búsqueda, se aprecie críticamente la literatura y se aplique ese conocimiento para el logro de los mejores resultados.</w:t>
      </w:r>
    </w:p>
    <w:p w:rsidR="00F90101" w:rsidRPr="00C8335C" w:rsidRDefault="00F90101" w:rsidP="00E4387A">
      <w:pPr>
        <w:jc w:val="both"/>
        <w:rPr>
          <w:rFonts w:ascii="Arial" w:hAnsi="Arial" w:cs="Arial"/>
          <w:sz w:val="24"/>
          <w:szCs w:val="24"/>
        </w:rPr>
      </w:pPr>
      <w:r w:rsidRPr="00C8335C">
        <w:rPr>
          <w:rFonts w:ascii="Arial" w:hAnsi="Arial" w:cs="Arial"/>
          <w:sz w:val="24"/>
          <w:szCs w:val="24"/>
        </w:rPr>
        <w:t xml:space="preserve">En las dos últimas décadas, el desarrollo de la denominada Medicina Basada en la Evidencia (MBE), supone un replanteamiento sociosanitario acerca de los conocimientos teórico-prácticos del médico, pasando del paradigma previo basado en el conocimiento </w:t>
      </w:r>
      <w:proofErr w:type="spellStart"/>
      <w:r w:rsidRPr="00C8335C">
        <w:rPr>
          <w:rFonts w:ascii="Arial" w:hAnsi="Arial" w:cs="Arial"/>
          <w:sz w:val="24"/>
          <w:szCs w:val="24"/>
        </w:rPr>
        <w:t>fisio</w:t>
      </w:r>
      <w:proofErr w:type="spellEnd"/>
      <w:r w:rsidRPr="00C8335C">
        <w:rPr>
          <w:rFonts w:ascii="Arial" w:hAnsi="Arial" w:cs="Arial"/>
          <w:sz w:val="24"/>
          <w:szCs w:val="24"/>
        </w:rPr>
        <w:t>-patológico, la experiencia clínica no sistemática y la intuición -el arte de la Medicina-, al actual que sin desestimar lo anterior, pone énfasis en el análisis de las evidencias (pruebas) aportadas por la investigación , la ciencia del arte de la Medicina.</w:t>
      </w:r>
    </w:p>
    <w:p w:rsidR="00F90101" w:rsidRPr="00C8335C" w:rsidRDefault="00F90101" w:rsidP="00E4387A">
      <w:pPr>
        <w:jc w:val="both"/>
        <w:rPr>
          <w:rFonts w:ascii="Arial" w:hAnsi="Arial" w:cs="Arial"/>
          <w:sz w:val="24"/>
          <w:szCs w:val="24"/>
        </w:rPr>
      </w:pPr>
      <w:r w:rsidRPr="00C8335C">
        <w:rPr>
          <w:rFonts w:ascii="Arial" w:hAnsi="Arial" w:cs="Arial"/>
          <w:sz w:val="24"/>
          <w:szCs w:val="24"/>
        </w:rPr>
        <w:t xml:space="preserve">A partir de 1980, en la Facultad de Ciencias de la Salud de la Universidad de </w:t>
      </w:r>
      <w:proofErr w:type="spellStart"/>
      <w:r w:rsidRPr="00C8335C">
        <w:rPr>
          <w:rFonts w:ascii="Arial" w:hAnsi="Arial" w:cs="Arial"/>
          <w:sz w:val="24"/>
          <w:szCs w:val="24"/>
        </w:rPr>
        <w:t>McMaster</w:t>
      </w:r>
      <w:proofErr w:type="spellEnd"/>
      <w:r w:rsidRPr="00C8335C">
        <w:rPr>
          <w:rFonts w:ascii="Arial" w:hAnsi="Arial" w:cs="Arial"/>
          <w:sz w:val="24"/>
          <w:szCs w:val="24"/>
        </w:rPr>
        <w:t xml:space="preserve"> (Ontario, </w:t>
      </w:r>
      <w:proofErr w:type="spellStart"/>
      <w:r w:rsidRPr="00C8335C">
        <w:rPr>
          <w:rFonts w:ascii="Arial" w:hAnsi="Arial" w:cs="Arial"/>
          <w:sz w:val="24"/>
          <w:szCs w:val="24"/>
        </w:rPr>
        <w:t>Canada</w:t>
      </w:r>
      <w:proofErr w:type="spellEnd"/>
      <w:r w:rsidRPr="00C8335C">
        <w:rPr>
          <w:rFonts w:ascii="Arial" w:hAnsi="Arial" w:cs="Arial"/>
          <w:sz w:val="24"/>
          <w:szCs w:val="24"/>
        </w:rPr>
        <w:t>) se publicaron un conjunto de trabajos acerca de cómo analizar correctamente la bibliografía médica cuand</w:t>
      </w:r>
      <w:r w:rsidR="00C8335C" w:rsidRPr="00C8335C">
        <w:rPr>
          <w:rFonts w:ascii="Arial" w:hAnsi="Arial" w:cs="Arial"/>
          <w:sz w:val="24"/>
          <w:szCs w:val="24"/>
        </w:rPr>
        <w:t>o se está al cuidado de paciente</w:t>
      </w:r>
      <w:r w:rsidRPr="00C8335C">
        <w:rPr>
          <w:rFonts w:ascii="Arial" w:hAnsi="Arial" w:cs="Arial"/>
          <w:sz w:val="24"/>
          <w:szCs w:val="24"/>
        </w:rPr>
        <w:t xml:space="preserve"> o se es responsable del mismo.</w:t>
      </w:r>
    </w:p>
    <w:p w:rsidR="00C8335C" w:rsidRPr="00C8335C" w:rsidRDefault="00C8335C" w:rsidP="00E4387A">
      <w:pPr>
        <w:jc w:val="both"/>
        <w:rPr>
          <w:rFonts w:ascii="Arial" w:hAnsi="Arial" w:cs="Arial"/>
          <w:sz w:val="24"/>
          <w:szCs w:val="24"/>
        </w:rPr>
      </w:pPr>
      <w:r w:rsidRPr="00C8335C">
        <w:rPr>
          <w:rFonts w:ascii="Arial" w:hAnsi="Arial" w:cs="Arial"/>
          <w:sz w:val="24"/>
          <w:szCs w:val="24"/>
        </w:rPr>
        <w:t xml:space="preserve">Al tratar de establecer un orden cronológico con los antecedentes de lo que hoy se conoce como Medicina Basada en la Evidencia, debemos diferenciar entre sus bases filosóficas, y su reciente desarrollo. Poco es lo que se conoce de sus orígenes, al decir de sus entusiastas promotores, que fueron calificados como escépticos postrevolucionarios de París de mediados del siglo XIX como </w:t>
      </w:r>
      <w:proofErr w:type="spellStart"/>
      <w:r w:rsidRPr="00C8335C">
        <w:rPr>
          <w:rFonts w:ascii="Arial" w:hAnsi="Arial" w:cs="Arial"/>
          <w:sz w:val="24"/>
          <w:szCs w:val="24"/>
        </w:rPr>
        <w:t>Bichat</w:t>
      </w:r>
      <w:proofErr w:type="spellEnd"/>
      <w:r w:rsidRPr="00C8335C">
        <w:rPr>
          <w:rFonts w:ascii="Arial" w:hAnsi="Arial" w:cs="Arial"/>
          <w:sz w:val="24"/>
          <w:szCs w:val="24"/>
        </w:rPr>
        <w:t xml:space="preserve">, Louis y </w:t>
      </w:r>
      <w:proofErr w:type="spellStart"/>
      <w:r w:rsidRPr="00C8335C">
        <w:rPr>
          <w:rFonts w:ascii="Arial" w:hAnsi="Arial" w:cs="Arial"/>
          <w:sz w:val="24"/>
          <w:szCs w:val="24"/>
        </w:rPr>
        <w:t>Magendie</w:t>
      </w:r>
      <w:proofErr w:type="spellEnd"/>
      <w:r w:rsidRPr="00C8335C">
        <w:rPr>
          <w:rFonts w:ascii="Arial" w:hAnsi="Arial" w:cs="Arial"/>
          <w:sz w:val="24"/>
          <w:szCs w:val="24"/>
        </w:rPr>
        <w:t>.</w:t>
      </w:r>
    </w:p>
    <w:p w:rsidR="00C8335C" w:rsidRDefault="00C8335C" w:rsidP="00E4387A">
      <w:pPr>
        <w:jc w:val="both"/>
        <w:rPr>
          <w:rFonts w:ascii="Arial" w:hAnsi="Arial" w:cs="Arial"/>
          <w:sz w:val="24"/>
          <w:szCs w:val="24"/>
        </w:rPr>
      </w:pPr>
      <w:r w:rsidRPr="00C8335C">
        <w:rPr>
          <w:rFonts w:ascii="Arial" w:hAnsi="Arial" w:cs="Arial"/>
          <w:sz w:val="24"/>
          <w:szCs w:val="24"/>
        </w:rPr>
        <w:t>El aprendizaje basado en problemas se estructura en tres estadios: la identificación del problema, la búsqueda de información y la resolución del problema.</w:t>
      </w:r>
    </w:p>
    <w:p w:rsidR="00E4387A" w:rsidRDefault="00E4387A" w:rsidP="00E4387A">
      <w:pPr>
        <w:jc w:val="both"/>
        <w:rPr>
          <w:rFonts w:ascii="Arial" w:hAnsi="Arial" w:cs="Arial"/>
          <w:sz w:val="24"/>
          <w:szCs w:val="24"/>
        </w:rPr>
      </w:pPr>
      <w:r w:rsidRPr="00E4387A">
        <w:rPr>
          <w:rFonts w:ascii="Arial" w:hAnsi="Arial" w:cs="Arial"/>
          <w:sz w:val="24"/>
          <w:szCs w:val="24"/>
        </w:rPr>
        <w:t xml:space="preserve">El paradigma tradicional está basado fundamentalmente </w:t>
      </w:r>
      <w:r>
        <w:rPr>
          <w:rFonts w:ascii="Arial" w:hAnsi="Arial" w:cs="Arial"/>
          <w:sz w:val="24"/>
          <w:szCs w:val="24"/>
        </w:rPr>
        <w:t xml:space="preserve">en la autoridad. Se le atribuye </w:t>
      </w:r>
      <w:r w:rsidRPr="00E4387A">
        <w:rPr>
          <w:rFonts w:ascii="Arial" w:hAnsi="Arial" w:cs="Arial"/>
          <w:sz w:val="24"/>
          <w:szCs w:val="24"/>
        </w:rPr>
        <w:t>gran importancia a las observaciones clínicas no sistem</w:t>
      </w:r>
      <w:r>
        <w:rPr>
          <w:rFonts w:ascii="Arial" w:hAnsi="Arial" w:cs="Arial"/>
          <w:sz w:val="24"/>
          <w:szCs w:val="24"/>
        </w:rPr>
        <w:t xml:space="preserve">áticas (la llamada "experiencia </w:t>
      </w:r>
      <w:r w:rsidRPr="00E4387A">
        <w:rPr>
          <w:rFonts w:ascii="Arial" w:hAnsi="Arial" w:cs="Arial"/>
          <w:sz w:val="24"/>
          <w:szCs w:val="24"/>
        </w:rPr>
        <w:t>personal"), y al estudio de los mecanismos bási</w:t>
      </w:r>
      <w:r>
        <w:rPr>
          <w:rFonts w:ascii="Arial" w:hAnsi="Arial" w:cs="Arial"/>
          <w:sz w:val="24"/>
          <w:szCs w:val="24"/>
        </w:rPr>
        <w:t xml:space="preserve">cos de la enfermedad. El "nuevo </w:t>
      </w:r>
      <w:r w:rsidRPr="00E4387A">
        <w:rPr>
          <w:rFonts w:ascii="Arial" w:hAnsi="Arial" w:cs="Arial"/>
          <w:sz w:val="24"/>
          <w:szCs w:val="24"/>
        </w:rPr>
        <w:t>paradigma" le atribuye un alto valor a la experiencia clíni</w:t>
      </w:r>
      <w:r>
        <w:rPr>
          <w:rFonts w:ascii="Arial" w:hAnsi="Arial" w:cs="Arial"/>
          <w:sz w:val="24"/>
          <w:szCs w:val="24"/>
        </w:rPr>
        <w:t xml:space="preserve">ca, pero interpreta con cautela </w:t>
      </w:r>
      <w:r w:rsidRPr="00E4387A">
        <w:rPr>
          <w:rFonts w:ascii="Arial" w:hAnsi="Arial" w:cs="Arial"/>
          <w:sz w:val="24"/>
          <w:szCs w:val="24"/>
        </w:rPr>
        <w:t>la información derivada de las observaciones clínicas no sistemáticas.</w:t>
      </w:r>
    </w:p>
    <w:p w:rsidR="00E4387A" w:rsidRDefault="00E4387A" w:rsidP="00E4387A">
      <w:pPr>
        <w:jc w:val="both"/>
        <w:rPr>
          <w:rFonts w:ascii="Arial" w:hAnsi="Arial" w:cs="Arial"/>
          <w:sz w:val="24"/>
          <w:szCs w:val="24"/>
        </w:rPr>
      </w:pPr>
      <w:r w:rsidRPr="00E4387A">
        <w:rPr>
          <w:rFonts w:ascii="Arial" w:hAnsi="Arial" w:cs="Arial"/>
          <w:sz w:val="24"/>
          <w:szCs w:val="24"/>
        </w:rPr>
        <w:lastRenderedPageBreak/>
        <w:t xml:space="preserve">Una concepción errónea acerca de la Medicina Basada </w:t>
      </w:r>
      <w:r>
        <w:rPr>
          <w:rFonts w:ascii="Arial" w:hAnsi="Arial" w:cs="Arial"/>
          <w:sz w:val="24"/>
          <w:szCs w:val="24"/>
        </w:rPr>
        <w:t xml:space="preserve">en la Evidencia es que se trata </w:t>
      </w:r>
      <w:r w:rsidRPr="00E4387A">
        <w:rPr>
          <w:rFonts w:ascii="Arial" w:hAnsi="Arial" w:cs="Arial"/>
          <w:sz w:val="24"/>
          <w:szCs w:val="24"/>
        </w:rPr>
        <w:t xml:space="preserve">de un medio utilizado por los administradores de salud </w:t>
      </w:r>
      <w:r>
        <w:rPr>
          <w:rFonts w:ascii="Arial" w:hAnsi="Arial" w:cs="Arial"/>
          <w:sz w:val="24"/>
          <w:szCs w:val="24"/>
        </w:rPr>
        <w:t xml:space="preserve">para la reducción de costos. Si </w:t>
      </w:r>
      <w:r w:rsidRPr="00E4387A">
        <w:rPr>
          <w:rFonts w:ascii="Arial" w:hAnsi="Arial" w:cs="Arial"/>
          <w:sz w:val="24"/>
          <w:szCs w:val="24"/>
        </w:rPr>
        <w:t>bien en ocasiones las medidas de mayor efectivid</w:t>
      </w:r>
      <w:r>
        <w:rPr>
          <w:rFonts w:ascii="Arial" w:hAnsi="Arial" w:cs="Arial"/>
          <w:sz w:val="24"/>
          <w:szCs w:val="24"/>
        </w:rPr>
        <w:t xml:space="preserve">ad clínica comprobada tienen un </w:t>
      </w:r>
      <w:r w:rsidRPr="00E4387A">
        <w:rPr>
          <w:rFonts w:ascii="Arial" w:hAnsi="Arial" w:cs="Arial"/>
          <w:sz w:val="24"/>
          <w:szCs w:val="24"/>
        </w:rPr>
        <w:t>costo menor que otras más difundidas, frecuentemente la situación es opuesta</w:t>
      </w:r>
      <w:r>
        <w:rPr>
          <w:rFonts w:ascii="Arial" w:hAnsi="Arial" w:cs="Arial"/>
          <w:sz w:val="24"/>
          <w:szCs w:val="24"/>
        </w:rPr>
        <w:t>.</w:t>
      </w:r>
    </w:p>
    <w:p w:rsidR="008F1BEC" w:rsidRPr="008F1BEC" w:rsidRDefault="008F1BEC" w:rsidP="008F1BEC">
      <w:pPr>
        <w:jc w:val="both"/>
        <w:rPr>
          <w:rFonts w:ascii="Arial" w:hAnsi="Arial" w:cs="Arial"/>
          <w:sz w:val="24"/>
          <w:szCs w:val="24"/>
        </w:rPr>
      </w:pPr>
      <w:r w:rsidRPr="008F1BEC">
        <w:rPr>
          <w:rFonts w:ascii="Arial" w:hAnsi="Arial" w:cs="Arial"/>
          <w:sz w:val="24"/>
          <w:szCs w:val="24"/>
        </w:rPr>
        <w:t>Se ha</w:t>
      </w:r>
      <w:r>
        <w:rPr>
          <w:rFonts w:ascii="Arial" w:hAnsi="Arial" w:cs="Arial"/>
          <w:sz w:val="24"/>
          <w:szCs w:val="24"/>
        </w:rPr>
        <w:t xml:space="preserve"> </w:t>
      </w:r>
      <w:r w:rsidRPr="008F1BEC">
        <w:rPr>
          <w:rFonts w:ascii="Arial" w:hAnsi="Arial" w:cs="Arial"/>
          <w:sz w:val="24"/>
          <w:szCs w:val="24"/>
        </w:rPr>
        <w:t>considerado que existen barreras para la aplicac</w:t>
      </w:r>
      <w:r>
        <w:rPr>
          <w:rFonts w:ascii="Arial" w:hAnsi="Arial" w:cs="Arial"/>
          <w:sz w:val="24"/>
          <w:szCs w:val="24"/>
        </w:rPr>
        <w:t xml:space="preserve">ión de la Medicina Basada en la </w:t>
      </w:r>
      <w:r w:rsidRPr="008F1BEC">
        <w:rPr>
          <w:rFonts w:ascii="Arial" w:hAnsi="Arial" w:cs="Arial"/>
          <w:sz w:val="24"/>
          <w:szCs w:val="24"/>
        </w:rPr>
        <w:t>Evidencia, algunas de estas "barreras" son:</w:t>
      </w:r>
    </w:p>
    <w:p w:rsidR="008F1BEC" w:rsidRDefault="008F1BEC" w:rsidP="008F1BEC">
      <w:pPr>
        <w:jc w:val="both"/>
        <w:rPr>
          <w:rFonts w:ascii="Arial" w:hAnsi="Arial" w:cs="Arial"/>
          <w:sz w:val="24"/>
          <w:szCs w:val="24"/>
        </w:rPr>
      </w:pPr>
      <w:r w:rsidRPr="008F1BEC">
        <w:rPr>
          <w:rFonts w:ascii="Arial" w:hAnsi="Arial" w:cs="Arial"/>
          <w:sz w:val="24"/>
          <w:szCs w:val="24"/>
        </w:rPr>
        <w:t>Desconocimiento: La ignorancia por parte del médic</w:t>
      </w:r>
      <w:r>
        <w:rPr>
          <w:rFonts w:ascii="Arial" w:hAnsi="Arial" w:cs="Arial"/>
          <w:sz w:val="24"/>
          <w:szCs w:val="24"/>
        </w:rPr>
        <w:t xml:space="preserve">o de la existencia de evidencia </w:t>
      </w:r>
      <w:r w:rsidRPr="008F1BEC">
        <w:rPr>
          <w:rFonts w:ascii="Arial" w:hAnsi="Arial" w:cs="Arial"/>
          <w:sz w:val="24"/>
          <w:szCs w:val="24"/>
        </w:rPr>
        <w:t xml:space="preserve">acerca de determinadas intervenciones depende en </w:t>
      </w:r>
      <w:r>
        <w:rPr>
          <w:rFonts w:ascii="Arial" w:hAnsi="Arial" w:cs="Arial"/>
          <w:sz w:val="24"/>
          <w:szCs w:val="24"/>
        </w:rPr>
        <w:t xml:space="preserve">parte de fallas en la educación </w:t>
      </w:r>
      <w:r w:rsidRPr="008F1BEC">
        <w:rPr>
          <w:rFonts w:ascii="Arial" w:hAnsi="Arial" w:cs="Arial"/>
          <w:sz w:val="24"/>
          <w:szCs w:val="24"/>
        </w:rPr>
        <w:t>médica. La educación médica de pregrado se basa, aú</w:t>
      </w:r>
      <w:r>
        <w:rPr>
          <w:rFonts w:ascii="Arial" w:hAnsi="Arial" w:cs="Arial"/>
          <w:sz w:val="24"/>
          <w:szCs w:val="24"/>
        </w:rPr>
        <w:t xml:space="preserve">n en gran parte en un principio </w:t>
      </w:r>
      <w:r w:rsidRPr="008F1BEC">
        <w:rPr>
          <w:rFonts w:ascii="Arial" w:hAnsi="Arial" w:cs="Arial"/>
          <w:sz w:val="24"/>
          <w:szCs w:val="24"/>
        </w:rPr>
        <w:t>de autoridad, “la opinión de los expertos”. Este p</w:t>
      </w:r>
      <w:r>
        <w:rPr>
          <w:rFonts w:ascii="Arial" w:hAnsi="Arial" w:cs="Arial"/>
          <w:sz w:val="24"/>
          <w:szCs w:val="24"/>
        </w:rPr>
        <w:t xml:space="preserve">atrón no ayuda a desarrollar la </w:t>
      </w:r>
      <w:r w:rsidRPr="008F1BEC">
        <w:rPr>
          <w:rFonts w:ascii="Arial" w:hAnsi="Arial" w:cs="Arial"/>
          <w:sz w:val="24"/>
          <w:szCs w:val="24"/>
        </w:rPr>
        <w:t>habilidad de juzgar el conocimiento nuevo</w:t>
      </w:r>
      <w:r>
        <w:rPr>
          <w:rFonts w:ascii="Arial" w:hAnsi="Arial" w:cs="Arial"/>
          <w:sz w:val="24"/>
          <w:szCs w:val="24"/>
        </w:rPr>
        <w:t xml:space="preserve">. Los programas de educación de postgrado </w:t>
      </w:r>
      <w:r w:rsidRPr="008F1BEC">
        <w:rPr>
          <w:rFonts w:ascii="Arial" w:hAnsi="Arial" w:cs="Arial"/>
          <w:sz w:val="24"/>
          <w:szCs w:val="24"/>
        </w:rPr>
        <w:t>en algunos casos repiten este defecto y otros i</w:t>
      </w:r>
      <w:r>
        <w:rPr>
          <w:rFonts w:ascii="Arial" w:hAnsi="Arial" w:cs="Arial"/>
          <w:sz w:val="24"/>
          <w:szCs w:val="24"/>
        </w:rPr>
        <w:t xml:space="preserve">ntentan técnicas nuevas que han mostrado escasa eficacia. </w:t>
      </w:r>
    </w:p>
    <w:p w:rsidR="008F1BEC" w:rsidRPr="008F1BEC" w:rsidRDefault="008F1BEC" w:rsidP="008F1BEC">
      <w:pPr>
        <w:jc w:val="both"/>
        <w:rPr>
          <w:rFonts w:ascii="Arial" w:hAnsi="Arial" w:cs="Arial"/>
          <w:sz w:val="24"/>
          <w:szCs w:val="24"/>
        </w:rPr>
      </w:pPr>
      <w:r>
        <w:rPr>
          <w:rFonts w:ascii="Arial" w:hAnsi="Arial" w:cs="Arial"/>
          <w:sz w:val="24"/>
          <w:szCs w:val="24"/>
        </w:rPr>
        <w:t>I</w:t>
      </w:r>
      <w:r w:rsidRPr="008F1BEC">
        <w:rPr>
          <w:rFonts w:ascii="Arial" w:hAnsi="Arial" w:cs="Arial"/>
          <w:sz w:val="24"/>
          <w:szCs w:val="24"/>
        </w:rPr>
        <w:t>nadecuado control por los pares y la sociedad: Programas de certificación y</w:t>
      </w:r>
      <w:r w:rsidR="004E42DD">
        <w:rPr>
          <w:rFonts w:ascii="Arial" w:hAnsi="Arial" w:cs="Arial"/>
          <w:sz w:val="24"/>
          <w:szCs w:val="24"/>
        </w:rPr>
        <w:t xml:space="preserve"> </w:t>
      </w:r>
      <w:r w:rsidRPr="008F1BEC">
        <w:rPr>
          <w:rFonts w:ascii="Arial" w:hAnsi="Arial" w:cs="Arial"/>
          <w:sz w:val="24"/>
          <w:szCs w:val="24"/>
        </w:rPr>
        <w:t>recertificación adecuados funcionarían seguramente como estímulo en la formación</w:t>
      </w:r>
      <w:r w:rsidR="004E42DD">
        <w:rPr>
          <w:rFonts w:ascii="Arial" w:hAnsi="Arial" w:cs="Arial"/>
          <w:sz w:val="24"/>
          <w:szCs w:val="24"/>
        </w:rPr>
        <w:t xml:space="preserve"> </w:t>
      </w:r>
      <w:r w:rsidRPr="008F1BEC">
        <w:rPr>
          <w:rFonts w:ascii="Arial" w:hAnsi="Arial" w:cs="Arial"/>
          <w:sz w:val="24"/>
          <w:szCs w:val="24"/>
        </w:rPr>
        <w:t>del médico.</w:t>
      </w:r>
    </w:p>
    <w:p w:rsidR="008F1BEC" w:rsidRPr="008F1BEC" w:rsidRDefault="008F1BEC" w:rsidP="008F1BEC">
      <w:pPr>
        <w:jc w:val="both"/>
        <w:rPr>
          <w:rFonts w:ascii="Arial" w:hAnsi="Arial" w:cs="Arial"/>
          <w:sz w:val="24"/>
          <w:szCs w:val="24"/>
        </w:rPr>
      </w:pPr>
      <w:r w:rsidRPr="008F1BEC">
        <w:rPr>
          <w:rFonts w:ascii="Arial" w:hAnsi="Arial" w:cs="Arial"/>
          <w:sz w:val="24"/>
          <w:szCs w:val="24"/>
        </w:rPr>
        <w:t>Limitaciones económicas: En algunos contextos es frecuente que limitaciones</w:t>
      </w:r>
      <w:r w:rsidR="004E42DD">
        <w:rPr>
          <w:rFonts w:ascii="Arial" w:hAnsi="Arial" w:cs="Arial"/>
          <w:sz w:val="24"/>
          <w:szCs w:val="24"/>
        </w:rPr>
        <w:t xml:space="preserve"> </w:t>
      </w:r>
      <w:r w:rsidRPr="008F1BEC">
        <w:rPr>
          <w:rFonts w:ascii="Arial" w:hAnsi="Arial" w:cs="Arial"/>
          <w:sz w:val="24"/>
          <w:szCs w:val="24"/>
        </w:rPr>
        <w:t>económicas (falta o insuficiencia de cobertura médica) generen groseras diferencias</w:t>
      </w:r>
      <w:r w:rsidR="004E42DD">
        <w:rPr>
          <w:rFonts w:ascii="Arial" w:hAnsi="Arial" w:cs="Arial"/>
          <w:sz w:val="24"/>
          <w:szCs w:val="24"/>
        </w:rPr>
        <w:t xml:space="preserve"> </w:t>
      </w:r>
      <w:r w:rsidRPr="008F1BEC">
        <w:rPr>
          <w:rFonts w:ascii="Arial" w:hAnsi="Arial" w:cs="Arial"/>
          <w:sz w:val="24"/>
          <w:szCs w:val="24"/>
        </w:rPr>
        <w:t>entre la ciencia médica y la práctica clínica.</w:t>
      </w:r>
    </w:p>
    <w:p w:rsidR="008F1BEC" w:rsidRDefault="008F1BEC" w:rsidP="008F1BEC">
      <w:pPr>
        <w:jc w:val="both"/>
        <w:rPr>
          <w:rFonts w:ascii="Arial" w:hAnsi="Arial" w:cs="Arial"/>
          <w:sz w:val="24"/>
          <w:szCs w:val="24"/>
        </w:rPr>
      </w:pPr>
      <w:r w:rsidRPr="008F1BEC">
        <w:rPr>
          <w:rFonts w:ascii="Arial" w:hAnsi="Arial" w:cs="Arial"/>
          <w:sz w:val="24"/>
          <w:szCs w:val="24"/>
        </w:rPr>
        <w:t>Intereses personales: En algunos sistemas de salud, el afán de lucro puede influir en</w:t>
      </w:r>
      <w:r w:rsidR="004E42DD">
        <w:rPr>
          <w:rFonts w:ascii="Arial" w:hAnsi="Arial" w:cs="Arial"/>
          <w:sz w:val="24"/>
          <w:szCs w:val="24"/>
        </w:rPr>
        <w:t xml:space="preserve"> </w:t>
      </w:r>
      <w:r w:rsidRPr="008F1BEC">
        <w:rPr>
          <w:rFonts w:ascii="Arial" w:hAnsi="Arial" w:cs="Arial"/>
          <w:sz w:val="24"/>
          <w:szCs w:val="24"/>
        </w:rPr>
        <w:t xml:space="preserve">las decisiones </w:t>
      </w:r>
      <w:r w:rsidR="004E42DD" w:rsidRPr="008F1BEC">
        <w:rPr>
          <w:rFonts w:ascii="Arial" w:hAnsi="Arial" w:cs="Arial"/>
          <w:sz w:val="24"/>
          <w:szCs w:val="24"/>
        </w:rPr>
        <w:t>médicas</w:t>
      </w:r>
      <w:r w:rsidRPr="008F1BEC">
        <w:rPr>
          <w:rFonts w:ascii="Arial" w:hAnsi="Arial" w:cs="Arial"/>
          <w:sz w:val="24"/>
          <w:szCs w:val="24"/>
        </w:rPr>
        <w:t xml:space="preserve"> y alejar la </w:t>
      </w:r>
      <w:r w:rsidR="004E42DD" w:rsidRPr="008F1BEC">
        <w:rPr>
          <w:rFonts w:ascii="Arial" w:hAnsi="Arial" w:cs="Arial"/>
          <w:sz w:val="24"/>
          <w:szCs w:val="24"/>
        </w:rPr>
        <w:t>práctica</w:t>
      </w:r>
      <w:r w:rsidRPr="008F1BEC">
        <w:rPr>
          <w:rFonts w:ascii="Arial" w:hAnsi="Arial" w:cs="Arial"/>
          <w:sz w:val="24"/>
          <w:szCs w:val="24"/>
        </w:rPr>
        <w:t xml:space="preserve"> clínica de la evidencia disponible. Puede</w:t>
      </w:r>
      <w:r w:rsidR="004E42DD">
        <w:rPr>
          <w:rFonts w:ascii="Arial" w:hAnsi="Arial" w:cs="Arial"/>
          <w:sz w:val="24"/>
          <w:szCs w:val="24"/>
        </w:rPr>
        <w:t xml:space="preserve"> </w:t>
      </w:r>
      <w:r w:rsidRPr="008F1BEC">
        <w:rPr>
          <w:rFonts w:ascii="Arial" w:hAnsi="Arial" w:cs="Arial"/>
          <w:sz w:val="24"/>
          <w:szCs w:val="24"/>
        </w:rPr>
        <w:t>manifestarse como exceso o carencia de intervenciones médicas</w:t>
      </w:r>
    </w:p>
    <w:p w:rsidR="00DB001F" w:rsidRDefault="00DB001F" w:rsidP="008F1BEC">
      <w:pPr>
        <w:jc w:val="both"/>
        <w:rPr>
          <w:rFonts w:ascii="Arial" w:hAnsi="Arial" w:cs="Arial"/>
          <w:sz w:val="24"/>
          <w:szCs w:val="24"/>
        </w:rPr>
      </w:pPr>
    </w:p>
    <w:p w:rsidR="00DB001F" w:rsidRDefault="00DB001F" w:rsidP="008F1BEC">
      <w:pPr>
        <w:jc w:val="both"/>
        <w:rPr>
          <w:rFonts w:ascii="Arial" w:hAnsi="Arial" w:cs="Arial"/>
          <w:sz w:val="24"/>
          <w:szCs w:val="24"/>
        </w:rPr>
      </w:pPr>
    </w:p>
    <w:p w:rsidR="00DB001F" w:rsidRDefault="00DB001F" w:rsidP="008F1BEC">
      <w:pPr>
        <w:jc w:val="both"/>
        <w:rPr>
          <w:rFonts w:ascii="Arial" w:hAnsi="Arial" w:cs="Arial"/>
          <w:sz w:val="24"/>
          <w:szCs w:val="24"/>
        </w:rPr>
      </w:pPr>
    </w:p>
    <w:p w:rsidR="00DB001F" w:rsidRDefault="00DB001F" w:rsidP="008F1BEC">
      <w:pPr>
        <w:jc w:val="both"/>
        <w:rPr>
          <w:rFonts w:ascii="Arial" w:hAnsi="Arial" w:cs="Arial"/>
          <w:sz w:val="24"/>
          <w:szCs w:val="24"/>
        </w:rPr>
      </w:pPr>
    </w:p>
    <w:p w:rsidR="00DB001F" w:rsidRDefault="00DB001F" w:rsidP="008F1BEC">
      <w:pPr>
        <w:jc w:val="both"/>
        <w:rPr>
          <w:rFonts w:ascii="Arial" w:hAnsi="Arial" w:cs="Arial"/>
          <w:sz w:val="24"/>
          <w:szCs w:val="24"/>
        </w:rPr>
      </w:pPr>
    </w:p>
    <w:p w:rsidR="00DB001F" w:rsidRDefault="00DB001F" w:rsidP="008F1BEC">
      <w:pPr>
        <w:jc w:val="both"/>
        <w:rPr>
          <w:rFonts w:ascii="Arial" w:hAnsi="Arial" w:cs="Arial"/>
          <w:sz w:val="24"/>
          <w:szCs w:val="24"/>
        </w:rPr>
      </w:pPr>
    </w:p>
    <w:p w:rsidR="00DB001F" w:rsidRDefault="00DB001F" w:rsidP="008F1BEC">
      <w:pPr>
        <w:jc w:val="both"/>
        <w:rPr>
          <w:rFonts w:ascii="Arial" w:hAnsi="Arial" w:cs="Arial"/>
          <w:sz w:val="24"/>
          <w:szCs w:val="24"/>
        </w:rPr>
      </w:pPr>
    </w:p>
    <w:p w:rsidR="00DB001F" w:rsidRDefault="00DB001F" w:rsidP="008F1BEC">
      <w:pPr>
        <w:jc w:val="both"/>
        <w:rPr>
          <w:rFonts w:ascii="Arial" w:hAnsi="Arial" w:cs="Arial"/>
          <w:sz w:val="24"/>
          <w:szCs w:val="24"/>
        </w:rPr>
      </w:pPr>
    </w:p>
    <w:p w:rsidR="00DB001F" w:rsidRDefault="00DB001F" w:rsidP="008F1BEC">
      <w:pPr>
        <w:jc w:val="both"/>
        <w:rPr>
          <w:rFonts w:ascii="Arial" w:hAnsi="Arial" w:cs="Arial"/>
          <w:sz w:val="24"/>
          <w:szCs w:val="24"/>
        </w:rPr>
      </w:pPr>
    </w:p>
    <w:p w:rsidR="00DB001F" w:rsidRDefault="00DB001F" w:rsidP="008F1BEC">
      <w:pPr>
        <w:jc w:val="both"/>
        <w:rPr>
          <w:rFonts w:ascii="Arial" w:hAnsi="Arial" w:cs="Arial"/>
          <w:sz w:val="24"/>
          <w:szCs w:val="24"/>
        </w:rPr>
      </w:pPr>
    </w:p>
    <w:p w:rsidR="00DB001F" w:rsidRDefault="00DB001F" w:rsidP="008F1BEC">
      <w:pPr>
        <w:jc w:val="both"/>
        <w:rPr>
          <w:rFonts w:ascii="Arial" w:hAnsi="Arial" w:cs="Arial"/>
          <w:sz w:val="24"/>
          <w:szCs w:val="24"/>
        </w:rPr>
      </w:pPr>
    </w:p>
    <w:p w:rsidR="00DB001F" w:rsidRDefault="00DB001F" w:rsidP="008F1BEC">
      <w:pPr>
        <w:jc w:val="both"/>
        <w:rPr>
          <w:rFonts w:ascii="Arial" w:hAnsi="Arial" w:cs="Arial"/>
          <w:sz w:val="24"/>
          <w:szCs w:val="24"/>
        </w:rPr>
      </w:pPr>
    </w:p>
    <w:p w:rsidR="00DB001F" w:rsidRDefault="00DB001F" w:rsidP="008F1BEC">
      <w:pPr>
        <w:jc w:val="both"/>
        <w:rPr>
          <w:rFonts w:ascii="Arial" w:hAnsi="Arial" w:cs="Arial"/>
          <w:sz w:val="24"/>
          <w:szCs w:val="24"/>
        </w:rPr>
      </w:pPr>
    </w:p>
    <w:p w:rsidR="00DB001F" w:rsidRDefault="00DB001F" w:rsidP="008F1BEC">
      <w:pPr>
        <w:jc w:val="both"/>
        <w:rPr>
          <w:rFonts w:ascii="Arial" w:hAnsi="Arial" w:cs="Arial"/>
          <w:sz w:val="24"/>
          <w:szCs w:val="24"/>
        </w:rPr>
      </w:pPr>
    </w:p>
    <w:p w:rsidR="00DB001F" w:rsidRDefault="00DB001F" w:rsidP="008F1BEC">
      <w:pPr>
        <w:jc w:val="both"/>
        <w:rPr>
          <w:rFonts w:ascii="Arial" w:hAnsi="Arial" w:cs="Arial"/>
          <w:sz w:val="24"/>
          <w:szCs w:val="24"/>
        </w:rPr>
      </w:pPr>
    </w:p>
    <w:p w:rsidR="00DB001F" w:rsidRDefault="00DB001F" w:rsidP="008F1BEC">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DB001F" w:rsidTr="00DB001F">
        <w:tc>
          <w:tcPr>
            <w:tcW w:w="4414" w:type="dxa"/>
            <w:tcBorders>
              <w:bottom w:val="single" w:sz="4" w:space="0" w:color="auto"/>
            </w:tcBorders>
          </w:tcPr>
          <w:p w:rsidR="00DB001F" w:rsidRDefault="00DB001F" w:rsidP="008F1BEC">
            <w:pPr>
              <w:jc w:val="both"/>
              <w:rPr>
                <w:rFonts w:ascii="Arial" w:hAnsi="Arial" w:cs="Arial"/>
                <w:sz w:val="24"/>
                <w:szCs w:val="24"/>
              </w:rPr>
            </w:pPr>
            <w:r>
              <w:rPr>
                <w:rFonts w:ascii="Arial" w:hAnsi="Arial" w:cs="Arial"/>
                <w:sz w:val="24"/>
                <w:szCs w:val="24"/>
              </w:rPr>
              <w:t xml:space="preserve">Tipo de sesgo </w:t>
            </w:r>
          </w:p>
        </w:tc>
        <w:tc>
          <w:tcPr>
            <w:tcW w:w="4414" w:type="dxa"/>
          </w:tcPr>
          <w:p w:rsidR="00DB001F" w:rsidRDefault="00DB001F" w:rsidP="008F1BEC">
            <w:pPr>
              <w:jc w:val="both"/>
              <w:rPr>
                <w:rFonts w:ascii="Arial" w:hAnsi="Arial" w:cs="Arial"/>
                <w:sz w:val="24"/>
                <w:szCs w:val="24"/>
              </w:rPr>
            </w:pPr>
            <w:r>
              <w:rPr>
                <w:rFonts w:ascii="Arial" w:hAnsi="Arial" w:cs="Arial"/>
                <w:sz w:val="24"/>
                <w:szCs w:val="24"/>
              </w:rPr>
              <w:t xml:space="preserve">Descripción </w:t>
            </w:r>
          </w:p>
        </w:tc>
      </w:tr>
      <w:tr w:rsidR="00DB001F" w:rsidTr="00DB001F">
        <w:tc>
          <w:tcPr>
            <w:tcW w:w="4414" w:type="dxa"/>
            <w:tcBorders>
              <w:right w:val="nil"/>
            </w:tcBorders>
          </w:tcPr>
          <w:p w:rsidR="00DB001F" w:rsidRDefault="00DB001F" w:rsidP="008F1BEC">
            <w:pPr>
              <w:jc w:val="both"/>
              <w:rPr>
                <w:rFonts w:ascii="Arial" w:hAnsi="Arial" w:cs="Arial"/>
                <w:sz w:val="24"/>
                <w:szCs w:val="24"/>
              </w:rPr>
            </w:pPr>
            <w:r>
              <w:rPr>
                <w:rFonts w:ascii="Arial" w:hAnsi="Arial" w:cs="Arial"/>
                <w:sz w:val="24"/>
                <w:szCs w:val="24"/>
              </w:rPr>
              <w:t xml:space="preserve">Sesgos de selección </w:t>
            </w:r>
          </w:p>
        </w:tc>
        <w:tc>
          <w:tcPr>
            <w:tcW w:w="4414" w:type="dxa"/>
            <w:tcBorders>
              <w:left w:val="nil"/>
            </w:tcBorders>
          </w:tcPr>
          <w:p w:rsidR="00DB001F" w:rsidRDefault="00DB001F" w:rsidP="008F1BEC">
            <w:pPr>
              <w:jc w:val="both"/>
              <w:rPr>
                <w:rFonts w:ascii="Arial" w:hAnsi="Arial" w:cs="Arial"/>
                <w:sz w:val="24"/>
                <w:szCs w:val="24"/>
              </w:rPr>
            </w:pPr>
          </w:p>
        </w:tc>
      </w:tr>
      <w:tr w:rsidR="00DB001F" w:rsidTr="00DB001F">
        <w:tc>
          <w:tcPr>
            <w:tcW w:w="4414" w:type="dxa"/>
          </w:tcPr>
          <w:p w:rsidR="00DB001F" w:rsidRDefault="00DB001F" w:rsidP="008F1BEC">
            <w:pPr>
              <w:jc w:val="both"/>
              <w:rPr>
                <w:rFonts w:ascii="Arial" w:hAnsi="Arial" w:cs="Arial"/>
                <w:sz w:val="24"/>
                <w:szCs w:val="24"/>
              </w:rPr>
            </w:pPr>
            <w:r>
              <w:rPr>
                <w:rFonts w:ascii="Arial" w:hAnsi="Arial" w:cs="Arial"/>
                <w:sz w:val="24"/>
                <w:szCs w:val="24"/>
              </w:rPr>
              <w:t xml:space="preserve">Sesgo de </w:t>
            </w:r>
            <w:proofErr w:type="spellStart"/>
            <w:r>
              <w:rPr>
                <w:rFonts w:ascii="Arial" w:hAnsi="Arial" w:cs="Arial"/>
                <w:sz w:val="24"/>
                <w:szCs w:val="24"/>
              </w:rPr>
              <w:t>Neymann</w:t>
            </w:r>
            <w:proofErr w:type="spellEnd"/>
          </w:p>
        </w:tc>
        <w:tc>
          <w:tcPr>
            <w:tcW w:w="4414" w:type="dxa"/>
          </w:tcPr>
          <w:p w:rsidR="00DB001F" w:rsidRDefault="00DB001F" w:rsidP="008F1BEC">
            <w:pPr>
              <w:jc w:val="both"/>
              <w:rPr>
                <w:rFonts w:ascii="Arial" w:hAnsi="Arial" w:cs="Arial"/>
                <w:sz w:val="24"/>
                <w:szCs w:val="24"/>
              </w:rPr>
            </w:pPr>
            <w:r>
              <w:rPr>
                <w:rFonts w:ascii="Arial" w:hAnsi="Arial" w:cs="Arial"/>
                <w:sz w:val="24"/>
                <w:szCs w:val="24"/>
              </w:rPr>
              <w:t>Se produce cuando la condición en estudio determina perdida prematura por fallecimiento de los sujetos afectados por ella.</w:t>
            </w:r>
          </w:p>
        </w:tc>
      </w:tr>
      <w:tr w:rsidR="00DB001F" w:rsidTr="00DB001F">
        <w:tc>
          <w:tcPr>
            <w:tcW w:w="4414" w:type="dxa"/>
          </w:tcPr>
          <w:p w:rsidR="00DB001F" w:rsidRDefault="00DB001F" w:rsidP="008F1BEC">
            <w:pPr>
              <w:jc w:val="both"/>
              <w:rPr>
                <w:rFonts w:ascii="Arial" w:hAnsi="Arial" w:cs="Arial"/>
                <w:sz w:val="24"/>
                <w:szCs w:val="24"/>
              </w:rPr>
            </w:pPr>
            <w:r>
              <w:rPr>
                <w:rFonts w:ascii="Arial" w:hAnsi="Arial" w:cs="Arial"/>
                <w:sz w:val="24"/>
                <w:szCs w:val="24"/>
              </w:rPr>
              <w:t xml:space="preserve">Sesgo de </w:t>
            </w:r>
            <w:proofErr w:type="spellStart"/>
            <w:r>
              <w:rPr>
                <w:rFonts w:ascii="Arial" w:hAnsi="Arial" w:cs="Arial"/>
                <w:sz w:val="24"/>
                <w:szCs w:val="24"/>
              </w:rPr>
              <w:t>Berkson</w:t>
            </w:r>
            <w:proofErr w:type="spellEnd"/>
            <w:r>
              <w:rPr>
                <w:rFonts w:ascii="Arial" w:hAnsi="Arial" w:cs="Arial"/>
                <w:sz w:val="24"/>
                <w:szCs w:val="24"/>
              </w:rPr>
              <w:t xml:space="preserve"> </w:t>
            </w:r>
          </w:p>
        </w:tc>
        <w:tc>
          <w:tcPr>
            <w:tcW w:w="4414" w:type="dxa"/>
          </w:tcPr>
          <w:p w:rsidR="00DB001F" w:rsidRDefault="00DB001F" w:rsidP="008F1BEC">
            <w:pPr>
              <w:jc w:val="both"/>
              <w:rPr>
                <w:rFonts w:ascii="Arial" w:hAnsi="Arial" w:cs="Arial"/>
                <w:sz w:val="24"/>
                <w:szCs w:val="24"/>
              </w:rPr>
            </w:pPr>
            <w:r>
              <w:rPr>
                <w:rFonts w:ascii="Arial" w:hAnsi="Arial" w:cs="Arial"/>
                <w:sz w:val="24"/>
                <w:szCs w:val="24"/>
              </w:rPr>
              <w:t>Fue descrito en 1946 a partir de la existencia de asociación negativa entre cáncer y tuberculosis pulmonar. El estudio reporto baja frecuencia de pacientes cancerosos con antecedentes de tuberculosis, comparados con los sujetos controles.</w:t>
            </w:r>
          </w:p>
        </w:tc>
      </w:tr>
      <w:tr w:rsidR="00DB001F" w:rsidTr="00DB001F">
        <w:tc>
          <w:tcPr>
            <w:tcW w:w="4414" w:type="dxa"/>
          </w:tcPr>
          <w:p w:rsidR="00DB001F" w:rsidRDefault="00DB001F" w:rsidP="008F1BEC">
            <w:pPr>
              <w:jc w:val="both"/>
              <w:rPr>
                <w:rFonts w:ascii="Arial" w:hAnsi="Arial" w:cs="Arial"/>
                <w:sz w:val="24"/>
                <w:szCs w:val="24"/>
              </w:rPr>
            </w:pPr>
            <w:r>
              <w:rPr>
                <w:rFonts w:ascii="Arial" w:hAnsi="Arial" w:cs="Arial"/>
                <w:sz w:val="24"/>
                <w:szCs w:val="24"/>
              </w:rPr>
              <w:t>Sesgos de no respuesta o efecto del voluntario</w:t>
            </w:r>
          </w:p>
        </w:tc>
        <w:tc>
          <w:tcPr>
            <w:tcW w:w="4414" w:type="dxa"/>
          </w:tcPr>
          <w:p w:rsidR="00DB001F" w:rsidRDefault="00DB001F" w:rsidP="008F1BEC">
            <w:pPr>
              <w:jc w:val="both"/>
              <w:rPr>
                <w:rFonts w:ascii="Arial" w:hAnsi="Arial" w:cs="Arial"/>
                <w:sz w:val="24"/>
                <w:szCs w:val="24"/>
              </w:rPr>
            </w:pPr>
            <w:r>
              <w:rPr>
                <w:rFonts w:ascii="Arial" w:hAnsi="Arial" w:cs="Arial"/>
                <w:sz w:val="24"/>
                <w:szCs w:val="24"/>
              </w:rPr>
              <w:t>El grado de interés o motivación que pueda tener un individuo que participa voluntariamente en una investigación pueda diferir sensiblemente en relación con otros sujetos. Al igual, la negatividad de algunos sujetos para ser incluidos en un estudio pueda estar dada por motivaciones sistemáticas experimentadas por ellos.</w:t>
            </w:r>
          </w:p>
        </w:tc>
      </w:tr>
      <w:tr w:rsidR="00DB001F" w:rsidTr="00DB001F">
        <w:tc>
          <w:tcPr>
            <w:tcW w:w="4414" w:type="dxa"/>
          </w:tcPr>
          <w:p w:rsidR="00DB001F" w:rsidRDefault="00DB001F" w:rsidP="008F1BEC">
            <w:pPr>
              <w:jc w:val="both"/>
              <w:rPr>
                <w:rFonts w:ascii="Arial" w:hAnsi="Arial" w:cs="Arial"/>
                <w:sz w:val="24"/>
                <w:szCs w:val="24"/>
              </w:rPr>
            </w:pPr>
            <w:r>
              <w:rPr>
                <w:rFonts w:ascii="Arial" w:hAnsi="Arial" w:cs="Arial"/>
                <w:sz w:val="24"/>
                <w:szCs w:val="24"/>
              </w:rPr>
              <w:t xml:space="preserve">Sesgos de membresía </w:t>
            </w:r>
          </w:p>
        </w:tc>
        <w:tc>
          <w:tcPr>
            <w:tcW w:w="4414" w:type="dxa"/>
          </w:tcPr>
          <w:p w:rsidR="00DB001F" w:rsidRDefault="00DB001F" w:rsidP="008F1BEC">
            <w:pPr>
              <w:jc w:val="both"/>
              <w:rPr>
                <w:rFonts w:ascii="Arial" w:hAnsi="Arial" w:cs="Arial"/>
                <w:sz w:val="24"/>
                <w:szCs w:val="24"/>
              </w:rPr>
            </w:pPr>
            <w:r>
              <w:rPr>
                <w:rFonts w:ascii="Arial" w:hAnsi="Arial" w:cs="Arial"/>
                <w:sz w:val="24"/>
                <w:szCs w:val="24"/>
              </w:rPr>
              <w:t xml:space="preserve">Se produce cuando uno de los sujetos evaluados subgrupos de sujetos que comparten algún atributo en particular , relacionado positiva o negativamente con la variable del estudio </w:t>
            </w:r>
          </w:p>
        </w:tc>
      </w:tr>
      <w:tr w:rsidR="00DB001F" w:rsidTr="00FE4EDB">
        <w:tc>
          <w:tcPr>
            <w:tcW w:w="4414" w:type="dxa"/>
            <w:tcBorders>
              <w:bottom w:val="single" w:sz="4" w:space="0" w:color="auto"/>
            </w:tcBorders>
          </w:tcPr>
          <w:p w:rsidR="00DB001F" w:rsidRDefault="00DB001F" w:rsidP="008F1BEC">
            <w:pPr>
              <w:jc w:val="both"/>
              <w:rPr>
                <w:rFonts w:ascii="Arial" w:hAnsi="Arial" w:cs="Arial"/>
                <w:sz w:val="24"/>
                <w:szCs w:val="24"/>
              </w:rPr>
            </w:pPr>
            <w:r>
              <w:rPr>
                <w:rFonts w:ascii="Arial" w:hAnsi="Arial" w:cs="Arial"/>
                <w:sz w:val="24"/>
                <w:szCs w:val="24"/>
              </w:rPr>
              <w:t xml:space="preserve">Sesgos de procedimientos de selección </w:t>
            </w:r>
          </w:p>
        </w:tc>
        <w:tc>
          <w:tcPr>
            <w:tcW w:w="4414" w:type="dxa"/>
          </w:tcPr>
          <w:p w:rsidR="00DB001F" w:rsidRDefault="008D01A9" w:rsidP="008F1BEC">
            <w:pPr>
              <w:jc w:val="both"/>
              <w:rPr>
                <w:rFonts w:ascii="Arial" w:hAnsi="Arial" w:cs="Arial"/>
                <w:sz w:val="24"/>
                <w:szCs w:val="24"/>
              </w:rPr>
            </w:pPr>
            <w:r>
              <w:rPr>
                <w:rFonts w:ascii="Arial" w:hAnsi="Arial" w:cs="Arial"/>
                <w:sz w:val="24"/>
                <w:szCs w:val="24"/>
              </w:rPr>
              <w:t xml:space="preserve">Puede observarse en diseños de investigación </w:t>
            </w:r>
            <w:r w:rsidR="00FE4EDB">
              <w:rPr>
                <w:rFonts w:ascii="Arial" w:hAnsi="Arial" w:cs="Arial"/>
                <w:sz w:val="24"/>
                <w:szCs w:val="24"/>
              </w:rPr>
              <w:t>experimentales,</w:t>
            </w:r>
            <w:r>
              <w:rPr>
                <w:rFonts w:ascii="Arial" w:hAnsi="Arial" w:cs="Arial"/>
                <w:sz w:val="24"/>
                <w:szCs w:val="24"/>
              </w:rPr>
              <w:t xml:space="preserve"> en los cuales no se respeta el principio de aleatoriedad en la asignación a los grupos de experimentación y de estudio.</w:t>
            </w:r>
          </w:p>
        </w:tc>
      </w:tr>
      <w:tr w:rsidR="00DB001F" w:rsidTr="00FE4EDB">
        <w:tc>
          <w:tcPr>
            <w:tcW w:w="4414" w:type="dxa"/>
            <w:tcBorders>
              <w:right w:val="nil"/>
            </w:tcBorders>
          </w:tcPr>
          <w:p w:rsidR="00DB001F" w:rsidRDefault="00A47CE7" w:rsidP="00FE4EDB">
            <w:pPr>
              <w:tabs>
                <w:tab w:val="right" w:pos="4198"/>
              </w:tabs>
              <w:jc w:val="both"/>
              <w:rPr>
                <w:rFonts w:ascii="Arial" w:hAnsi="Arial" w:cs="Arial"/>
                <w:sz w:val="24"/>
                <w:szCs w:val="24"/>
              </w:rPr>
            </w:pPr>
            <w:r>
              <w:rPr>
                <w:rFonts w:ascii="Arial" w:hAnsi="Arial" w:cs="Arial"/>
                <w:sz w:val="24"/>
                <w:szCs w:val="24"/>
              </w:rPr>
              <w:t xml:space="preserve">Sesgos de medición </w:t>
            </w:r>
            <w:r w:rsidR="00FE4EDB">
              <w:rPr>
                <w:rFonts w:ascii="Arial" w:hAnsi="Arial" w:cs="Arial"/>
                <w:sz w:val="24"/>
                <w:szCs w:val="24"/>
              </w:rPr>
              <w:tab/>
            </w:r>
          </w:p>
        </w:tc>
        <w:tc>
          <w:tcPr>
            <w:tcW w:w="4414" w:type="dxa"/>
            <w:tcBorders>
              <w:left w:val="nil"/>
            </w:tcBorders>
          </w:tcPr>
          <w:p w:rsidR="00DB001F" w:rsidRDefault="00DB001F" w:rsidP="008F1BEC">
            <w:pPr>
              <w:jc w:val="both"/>
              <w:rPr>
                <w:rFonts w:ascii="Arial" w:hAnsi="Arial" w:cs="Arial"/>
                <w:sz w:val="24"/>
                <w:szCs w:val="24"/>
              </w:rPr>
            </w:pPr>
          </w:p>
        </w:tc>
      </w:tr>
      <w:tr w:rsidR="00DB001F" w:rsidTr="00DB001F">
        <w:tc>
          <w:tcPr>
            <w:tcW w:w="4414" w:type="dxa"/>
          </w:tcPr>
          <w:p w:rsidR="00DB001F" w:rsidRDefault="00FE4EDB" w:rsidP="008F1BEC">
            <w:pPr>
              <w:jc w:val="both"/>
              <w:rPr>
                <w:rFonts w:ascii="Arial" w:hAnsi="Arial" w:cs="Arial"/>
                <w:sz w:val="24"/>
                <w:szCs w:val="24"/>
              </w:rPr>
            </w:pPr>
            <w:r>
              <w:rPr>
                <w:rFonts w:ascii="Arial" w:hAnsi="Arial" w:cs="Arial"/>
                <w:sz w:val="24"/>
                <w:szCs w:val="24"/>
              </w:rPr>
              <w:t xml:space="preserve">Sesos de procedimientos </w:t>
            </w:r>
          </w:p>
        </w:tc>
        <w:tc>
          <w:tcPr>
            <w:tcW w:w="4414" w:type="dxa"/>
          </w:tcPr>
          <w:p w:rsidR="00DB001F" w:rsidRDefault="00FE4EDB" w:rsidP="008F1BEC">
            <w:pPr>
              <w:jc w:val="both"/>
              <w:rPr>
                <w:rFonts w:ascii="Arial" w:hAnsi="Arial" w:cs="Arial"/>
                <w:sz w:val="24"/>
                <w:szCs w:val="24"/>
              </w:rPr>
            </w:pPr>
            <w:r>
              <w:rPr>
                <w:rFonts w:ascii="Arial" w:hAnsi="Arial" w:cs="Arial"/>
                <w:sz w:val="24"/>
                <w:szCs w:val="24"/>
              </w:rPr>
              <w:t xml:space="preserve">El grupo que se presenta la variable dependiente resulta ser más interesante para el investigador que el grupo que participa como control. Por </w:t>
            </w:r>
            <w:r>
              <w:rPr>
                <w:rFonts w:ascii="Arial" w:hAnsi="Arial" w:cs="Arial"/>
                <w:sz w:val="24"/>
                <w:szCs w:val="24"/>
              </w:rPr>
              <w:lastRenderedPageBreak/>
              <w:t>esta circunstancia ene l procedimiento de encuestaje, estos sujetos puedan concitar mayor precaución e interés por conseguir la información.</w:t>
            </w:r>
          </w:p>
        </w:tc>
      </w:tr>
      <w:tr w:rsidR="00DB001F" w:rsidTr="00DB001F">
        <w:tc>
          <w:tcPr>
            <w:tcW w:w="4414" w:type="dxa"/>
          </w:tcPr>
          <w:p w:rsidR="00DB001F" w:rsidRDefault="005E4B5A" w:rsidP="008F1BEC">
            <w:pPr>
              <w:jc w:val="both"/>
              <w:rPr>
                <w:rFonts w:ascii="Arial" w:hAnsi="Arial" w:cs="Arial"/>
                <w:sz w:val="24"/>
                <w:szCs w:val="24"/>
              </w:rPr>
            </w:pPr>
            <w:r>
              <w:rPr>
                <w:rFonts w:ascii="Arial" w:hAnsi="Arial" w:cs="Arial"/>
                <w:sz w:val="24"/>
                <w:szCs w:val="24"/>
              </w:rPr>
              <w:lastRenderedPageBreak/>
              <w:t xml:space="preserve">Sesgos de memoria </w:t>
            </w:r>
          </w:p>
        </w:tc>
        <w:tc>
          <w:tcPr>
            <w:tcW w:w="4414" w:type="dxa"/>
          </w:tcPr>
          <w:p w:rsidR="00DB001F" w:rsidRDefault="005E4B5A" w:rsidP="008F1BEC">
            <w:pPr>
              <w:jc w:val="both"/>
              <w:rPr>
                <w:rFonts w:ascii="Arial" w:hAnsi="Arial" w:cs="Arial"/>
                <w:sz w:val="24"/>
                <w:szCs w:val="24"/>
              </w:rPr>
            </w:pPr>
            <w:r>
              <w:rPr>
                <w:rFonts w:ascii="Arial" w:hAnsi="Arial" w:cs="Arial"/>
                <w:sz w:val="24"/>
                <w:szCs w:val="24"/>
              </w:rPr>
              <w:t>Frecuente de observar en estudios retrospectivos, en los cuales se pregunta por antecedente de exposición a determinadas circunstancias en diferentes periodos de la vida, existiendo la posibilidad de olvido.</w:t>
            </w:r>
          </w:p>
        </w:tc>
      </w:tr>
      <w:tr w:rsidR="00DB001F" w:rsidTr="00DB001F">
        <w:tc>
          <w:tcPr>
            <w:tcW w:w="4414" w:type="dxa"/>
          </w:tcPr>
          <w:p w:rsidR="00DB001F" w:rsidRDefault="005E4B5A" w:rsidP="008F1BEC">
            <w:pPr>
              <w:jc w:val="both"/>
              <w:rPr>
                <w:rFonts w:ascii="Arial" w:hAnsi="Arial" w:cs="Arial"/>
                <w:sz w:val="24"/>
                <w:szCs w:val="24"/>
              </w:rPr>
            </w:pPr>
            <w:r>
              <w:rPr>
                <w:rFonts w:ascii="Arial" w:hAnsi="Arial" w:cs="Arial"/>
                <w:sz w:val="24"/>
                <w:szCs w:val="24"/>
              </w:rPr>
              <w:t>Sesgo por falta de sensibilidad de un instrumento</w:t>
            </w:r>
          </w:p>
        </w:tc>
        <w:tc>
          <w:tcPr>
            <w:tcW w:w="4414" w:type="dxa"/>
          </w:tcPr>
          <w:p w:rsidR="00DB001F" w:rsidRDefault="005E4B5A" w:rsidP="008F1BEC">
            <w:pPr>
              <w:jc w:val="both"/>
              <w:rPr>
                <w:rFonts w:ascii="Arial" w:hAnsi="Arial" w:cs="Arial"/>
                <w:sz w:val="24"/>
                <w:szCs w:val="24"/>
              </w:rPr>
            </w:pPr>
            <w:r>
              <w:rPr>
                <w:rFonts w:ascii="Arial" w:hAnsi="Arial" w:cs="Arial"/>
                <w:sz w:val="24"/>
                <w:szCs w:val="24"/>
              </w:rPr>
              <w:t xml:space="preserve">Si no se cuenta con adecuados </w:t>
            </w:r>
            <w:r w:rsidR="004511B0">
              <w:rPr>
                <w:rFonts w:ascii="Arial" w:hAnsi="Arial" w:cs="Arial"/>
                <w:sz w:val="24"/>
                <w:szCs w:val="24"/>
              </w:rPr>
              <w:t xml:space="preserve">métodos de recolección de la información, es posible que la sensibilidad de los instrumentos empleados en tales mediciones carezca de la sensibilidad necesaria para poder detectar la presencia de la </w:t>
            </w:r>
            <w:proofErr w:type="spellStart"/>
            <w:r w:rsidR="004511B0">
              <w:rPr>
                <w:rFonts w:ascii="Arial" w:hAnsi="Arial" w:cs="Arial"/>
                <w:sz w:val="24"/>
                <w:szCs w:val="24"/>
              </w:rPr>
              <w:t>varibale</w:t>
            </w:r>
            <w:proofErr w:type="spellEnd"/>
            <w:r w:rsidR="004511B0">
              <w:rPr>
                <w:rFonts w:ascii="Arial" w:hAnsi="Arial" w:cs="Arial"/>
                <w:sz w:val="24"/>
                <w:szCs w:val="24"/>
              </w:rPr>
              <w:t>.</w:t>
            </w:r>
          </w:p>
        </w:tc>
      </w:tr>
      <w:tr w:rsidR="00DB001F" w:rsidTr="00DB001F">
        <w:tc>
          <w:tcPr>
            <w:tcW w:w="4414" w:type="dxa"/>
          </w:tcPr>
          <w:p w:rsidR="00DB001F" w:rsidRDefault="004511B0" w:rsidP="008F1BEC">
            <w:pPr>
              <w:jc w:val="both"/>
              <w:rPr>
                <w:rFonts w:ascii="Arial" w:hAnsi="Arial" w:cs="Arial"/>
                <w:sz w:val="24"/>
                <w:szCs w:val="24"/>
              </w:rPr>
            </w:pPr>
            <w:r>
              <w:rPr>
                <w:rFonts w:ascii="Arial" w:hAnsi="Arial" w:cs="Arial"/>
                <w:sz w:val="24"/>
                <w:szCs w:val="24"/>
              </w:rPr>
              <w:t xml:space="preserve">Sesgo de detección </w:t>
            </w:r>
          </w:p>
        </w:tc>
        <w:tc>
          <w:tcPr>
            <w:tcW w:w="4414" w:type="dxa"/>
          </w:tcPr>
          <w:p w:rsidR="00DB001F" w:rsidRPr="004511B0" w:rsidRDefault="004511B0" w:rsidP="008F1BEC">
            <w:pPr>
              <w:jc w:val="both"/>
              <w:rPr>
                <w:rFonts w:ascii="Arial" w:hAnsi="Arial" w:cs="Arial"/>
                <w:sz w:val="24"/>
                <w:szCs w:val="24"/>
              </w:rPr>
            </w:pPr>
            <w:r w:rsidRPr="004511B0">
              <w:rPr>
                <w:rFonts w:ascii="Arial" w:hAnsi="Arial" w:cs="Arial"/>
                <w:color w:val="000000"/>
                <w:sz w:val="24"/>
                <w:szCs w:val="24"/>
                <w:shd w:val="clear" w:color="auto" w:fill="FFFFFF"/>
              </w:rPr>
              <w:t>Su ocurrencia se explica por la introducción de metodologías diagnósticas diferentes a las inicialmente utilizadas al comienzo de un estudio.</w:t>
            </w:r>
          </w:p>
        </w:tc>
      </w:tr>
      <w:tr w:rsidR="00DB001F" w:rsidTr="00DB001F">
        <w:tc>
          <w:tcPr>
            <w:tcW w:w="4414" w:type="dxa"/>
          </w:tcPr>
          <w:p w:rsidR="00DB001F" w:rsidRDefault="004511B0" w:rsidP="008F1BEC">
            <w:pPr>
              <w:jc w:val="both"/>
              <w:rPr>
                <w:rFonts w:ascii="Arial" w:hAnsi="Arial" w:cs="Arial"/>
                <w:sz w:val="24"/>
                <w:szCs w:val="24"/>
              </w:rPr>
            </w:pPr>
            <w:r>
              <w:rPr>
                <w:rFonts w:ascii="Arial" w:hAnsi="Arial" w:cs="Arial"/>
                <w:sz w:val="24"/>
                <w:szCs w:val="24"/>
              </w:rPr>
              <w:t xml:space="preserve">Sesgo de adaptación </w:t>
            </w:r>
          </w:p>
        </w:tc>
        <w:tc>
          <w:tcPr>
            <w:tcW w:w="4414" w:type="dxa"/>
          </w:tcPr>
          <w:p w:rsidR="00DB001F" w:rsidRPr="004511B0" w:rsidRDefault="004511B0" w:rsidP="008F1BEC">
            <w:pPr>
              <w:jc w:val="both"/>
              <w:rPr>
                <w:rFonts w:ascii="Arial" w:hAnsi="Arial" w:cs="Arial"/>
                <w:sz w:val="24"/>
                <w:szCs w:val="24"/>
              </w:rPr>
            </w:pPr>
            <w:r w:rsidRPr="004511B0">
              <w:rPr>
                <w:rFonts w:ascii="Arial" w:hAnsi="Arial" w:cs="Arial"/>
                <w:color w:val="000000"/>
                <w:sz w:val="24"/>
                <w:szCs w:val="24"/>
                <w:shd w:val="clear" w:color="auto" w:fill="FFFFFF"/>
              </w:rPr>
              <w:t>Se produce especialmente en estudios de intervención (experimentales o cuasi-experimentales), en los cuales individuos asignados inicialmente a un grupo particular deciden migrar de grupo por preferir un tipo de intervención por sobre otro. En un ensayo clínico controlado la ocurrencia de este tipo de sesgo se neutraliza mediante la asignación aleatoria de los sujetos a los diferentes grupos de intervención y por la presencia del llamado "doble ciego"</w:t>
            </w:r>
          </w:p>
        </w:tc>
      </w:tr>
    </w:tbl>
    <w:p w:rsidR="00DB001F" w:rsidRDefault="00DB001F" w:rsidP="008F1BEC">
      <w:pPr>
        <w:jc w:val="both"/>
        <w:rPr>
          <w:rFonts w:ascii="Arial" w:hAnsi="Arial" w:cs="Arial"/>
          <w:sz w:val="24"/>
          <w:szCs w:val="24"/>
        </w:rPr>
      </w:pPr>
    </w:p>
    <w:p w:rsidR="000B3E66" w:rsidRDefault="000B3E66" w:rsidP="008F1BEC">
      <w:pPr>
        <w:jc w:val="both"/>
        <w:rPr>
          <w:rFonts w:ascii="Arial" w:hAnsi="Arial" w:cs="Arial"/>
          <w:sz w:val="24"/>
          <w:szCs w:val="24"/>
        </w:rPr>
      </w:pPr>
    </w:p>
    <w:p w:rsidR="000B3E66" w:rsidRDefault="000B3E66" w:rsidP="008F1BEC">
      <w:pPr>
        <w:jc w:val="both"/>
        <w:rPr>
          <w:rFonts w:ascii="Arial" w:hAnsi="Arial" w:cs="Arial"/>
          <w:sz w:val="24"/>
          <w:szCs w:val="24"/>
        </w:rPr>
      </w:pPr>
    </w:p>
    <w:p w:rsidR="000B3E66" w:rsidRDefault="000B3E66" w:rsidP="008F1BEC">
      <w:pPr>
        <w:jc w:val="both"/>
        <w:rPr>
          <w:rFonts w:ascii="Arial" w:hAnsi="Arial" w:cs="Arial"/>
          <w:sz w:val="24"/>
          <w:szCs w:val="24"/>
        </w:rPr>
      </w:pPr>
    </w:p>
    <w:p w:rsidR="000B3E66" w:rsidRDefault="000B3E66" w:rsidP="008F1BEC">
      <w:pPr>
        <w:jc w:val="both"/>
        <w:rPr>
          <w:rFonts w:ascii="Arial" w:hAnsi="Arial" w:cs="Arial"/>
          <w:sz w:val="24"/>
          <w:szCs w:val="24"/>
        </w:rPr>
      </w:pPr>
      <w:r>
        <w:rPr>
          <w:rFonts w:ascii="Arial" w:hAnsi="Arial" w:cs="Arial"/>
          <w:sz w:val="24"/>
          <w:szCs w:val="24"/>
        </w:rPr>
        <w:t xml:space="preserve">Bibliografías </w:t>
      </w:r>
    </w:p>
    <w:p w:rsidR="00CD60A3" w:rsidRDefault="00CD60A3" w:rsidP="008F1BEC">
      <w:pPr>
        <w:jc w:val="both"/>
        <w:rPr>
          <w:rFonts w:ascii="Arial" w:hAnsi="Arial" w:cs="Arial"/>
          <w:sz w:val="24"/>
          <w:szCs w:val="24"/>
        </w:rPr>
      </w:pPr>
      <w:hyperlink r:id="rId5" w:history="1">
        <w:r w:rsidRPr="00EE5122">
          <w:rPr>
            <w:rStyle w:val="Hipervnculo"/>
            <w:rFonts w:ascii="Arial" w:hAnsi="Arial" w:cs="Arial"/>
            <w:sz w:val="24"/>
            <w:szCs w:val="24"/>
          </w:rPr>
          <w:t>http://escuela.med.puc.cl/recursos/recepidem/insIntrod4.htm</w:t>
        </w:r>
      </w:hyperlink>
    </w:p>
    <w:p w:rsidR="00CD60A3" w:rsidRDefault="00CD60A3" w:rsidP="008F1BEC">
      <w:pPr>
        <w:jc w:val="both"/>
        <w:rPr>
          <w:rFonts w:ascii="Arial" w:hAnsi="Arial" w:cs="Arial"/>
          <w:sz w:val="24"/>
          <w:szCs w:val="24"/>
        </w:rPr>
      </w:pPr>
      <w:hyperlink r:id="rId6" w:history="1">
        <w:r w:rsidRPr="00EE5122">
          <w:rPr>
            <w:rStyle w:val="Hipervnculo"/>
            <w:rFonts w:ascii="Arial" w:hAnsi="Arial" w:cs="Arial"/>
            <w:sz w:val="24"/>
            <w:szCs w:val="24"/>
          </w:rPr>
          <w:t>http://scielo.isciii.es/scielo.php?pid=S1130-05582003000500003&amp;script=sci_arttext</w:t>
        </w:r>
      </w:hyperlink>
    </w:p>
    <w:p w:rsidR="00CD60A3" w:rsidRDefault="00CD60A3" w:rsidP="008F1BEC">
      <w:pPr>
        <w:jc w:val="both"/>
        <w:rPr>
          <w:rFonts w:ascii="Arial" w:hAnsi="Arial" w:cs="Arial"/>
          <w:sz w:val="24"/>
          <w:szCs w:val="24"/>
        </w:rPr>
      </w:pPr>
      <w:hyperlink r:id="rId7" w:history="1">
        <w:r w:rsidRPr="00EE5122">
          <w:rPr>
            <w:rStyle w:val="Hipervnculo"/>
            <w:rFonts w:ascii="Arial" w:hAnsi="Arial" w:cs="Arial"/>
            <w:sz w:val="24"/>
            <w:szCs w:val="24"/>
          </w:rPr>
          <w:t>http://www.scielo.org.pe/pdf/rmh/v20n2/v20n2tr1.pdf</w:t>
        </w:r>
      </w:hyperlink>
    </w:p>
    <w:p w:rsidR="00CD60A3" w:rsidRPr="00C8335C" w:rsidRDefault="00CD60A3" w:rsidP="008F1BEC">
      <w:pPr>
        <w:jc w:val="both"/>
        <w:rPr>
          <w:rFonts w:ascii="Arial" w:hAnsi="Arial" w:cs="Arial"/>
          <w:sz w:val="24"/>
          <w:szCs w:val="24"/>
        </w:rPr>
      </w:pPr>
    </w:p>
    <w:sectPr w:rsidR="00CD60A3" w:rsidRPr="00C833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01"/>
    <w:rsid w:val="000B3E66"/>
    <w:rsid w:val="004511B0"/>
    <w:rsid w:val="004E42DD"/>
    <w:rsid w:val="005E4B5A"/>
    <w:rsid w:val="008D01A9"/>
    <w:rsid w:val="008F1BEC"/>
    <w:rsid w:val="00931F5E"/>
    <w:rsid w:val="00992E80"/>
    <w:rsid w:val="00A47CE7"/>
    <w:rsid w:val="00C8335C"/>
    <w:rsid w:val="00CD60A3"/>
    <w:rsid w:val="00DB001F"/>
    <w:rsid w:val="00E4387A"/>
    <w:rsid w:val="00EA36E7"/>
    <w:rsid w:val="00F90101"/>
    <w:rsid w:val="00FE4E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93D23-62E9-44DB-A7FC-6DEEF2F0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B0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D6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ielo.org.pe/pdf/rmh/v20n2/v20n2tr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elo.isciii.es/scielo.php?pid=S1130-05582003000500003&amp;script=sci_arttext" TargetMode="External"/><Relationship Id="rId5" Type="http://schemas.openxmlformats.org/officeDocument/2006/relationships/hyperlink" Target="http://escuela.med.puc.cl/recursos/recepidem/insIntrod4.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1090</Words>
  <Characters>5997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2016-02-16T21:58:00Z</dcterms:created>
  <dcterms:modified xsi:type="dcterms:W3CDTF">2016-02-24T00:19:00Z</dcterms:modified>
</cp:coreProperties>
</file>