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64" w:rsidRDefault="00C178C7" w:rsidP="001403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Calibri" w:eastAsia="Calibri" w:hAnsi="Calibri" w:cs="Times New Roman"/>
          <w:noProof/>
          <w:lang w:eastAsia="es-MX"/>
        </w:rPr>
        <w:drawing>
          <wp:inline distT="0" distB="0" distL="0" distR="0" wp14:anchorId="605FE21E" wp14:editId="59727BCD">
            <wp:extent cx="3343275" cy="1266825"/>
            <wp:effectExtent l="0" t="0" r="9525" b="9525"/>
            <wp:docPr id="2" name="Imagen 2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índ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p w:rsidR="00C178C7" w:rsidRDefault="00C178C7" w:rsidP="00C178C7">
      <w:pPr>
        <w:jc w:val="center"/>
        <w:rPr>
          <w:rFonts w:ascii="Bradley Hand ITC" w:eastAsia="Calibri" w:hAnsi="Bradley Hand ITC" w:cs="Times New Roman"/>
          <w:b/>
          <w:i/>
          <w:sz w:val="40"/>
          <w:u w:val="single"/>
        </w:rPr>
      </w:pPr>
    </w:p>
    <w:bookmarkEnd w:id="0"/>
    <w:p w:rsidR="00C178C7" w:rsidRDefault="00C178C7" w:rsidP="00C178C7">
      <w:pPr>
        <w:jc w:val="center"/>
        <w:rPr>
          <w:rFonts w:ascii="Bradley Hand ITC" w:eastAsia="Calibri" w:hAnsi="Bradley Hand ITC" w:cs="Times New Roman"/>
          <w:b/>
          <w:i/>
          <w:sz w:val="40"/>
          <w:u w:val="single"/>
        </w:rPr>
      </w:pPr>
    </w:p>
    <w:p w:rsidR="00FE6864" w:rsidRPr="00FE6864" w:rsidRDefault="00FE6864" w:rsidP="00C178C7">
      <w:pPr>
        <w:jc w:val="center"/>
        <w:rPr>
          <w:rFonts w:ascii="Bradley Hand ITC" w:eastAsia="Calibri" w:hAnsi="Bradley Hand ITC" w:cs="Times New Roman"/>
          <w:b/>
          <w:i/>
          <w:sz w:val="40"/>
          <w:u w:val="single"/>
        </w:rPr>
      </w:pPr>
      <w:r w:rsidRPr="00FE6864">
        <w:rPr>
          <w:rFonts w:ascii="Bradley Hand ITC" w:eastAsia="Calibri" w:hAnsi="Bradley Hand ITC" w:cs="Times New Roman"/>
          <w:b/>
          <w:i/>
          <w:sz w:val="40"/>
          <w:u w:val="single"/>
        </w:rPr>
        <w:t>UNIVERSIDAD GUADALAJARA LAMAR.</w:t>
      </w:r>
    </w:p>
    <w:p w:rsidR="00FE6864" w:rsidRPr="00FE6864" w:rsidRDefault="00FE6864" w:rsidP="00FE6864">
      <w:pPr>
        <w:jc w:val="center"/>
        <w:rPr>
          <w:rFonts w:ascii="Bradley Hand ITC" w:eastAsia="Calibri" w:hAnsi="Bradley Hand ITC" w:cs="Times New Roman"/>
          <w:b/>
          <w:i/>
          <w:sz w:val="40"/>
          <w:u w:val="single"/>
        </w:rPr>
      </w:pPr>
    </w:p>
    <w:p w:rsidR="00FE6864" w:rsidRPr="00FE6864" w:rsidRDefault="00FE6864" w:rsidP="00FE6864">
      <w:pPr>
        <w:jc w:val="center"/>
        <w:rPr>
          <w:rFonts w:ascii="Bradley Hand ITC" w:eastAsia="Calibri" w:hAnsi="Bradley Hand ITC" w:cs="Times New Roman"/>
          <w:b/>
          <w:i/>
          <w:sz w:val="40"/>
          <w:u w:val="single"/>
        </w:rPr>
      </w:pPr>
      <w:r>
        <w:rPr>
          <w:rFonts w:ascii="Bradley Hand ITC" w:eastAsia="Calibri" w:hAnsi="Bradley Hand ITC" w:cs="Times New Roman"/>
          <w:b/>
          <w:i/>
          <w:sz w:val="40"/>
          <w:u w:val="single"/>
        </w:rPr>
        <w:t>MEDICINA BASADA EN EVIDENCIAS</w:t>
      </w:r>
      <w:r w:rsidRPr="00FE6864">
        <w:rPr>
          <w:rFonts w:ascii="Bradley Hand ITC" w:eastAsia="Calibri" w:hAnsi="Bradley Hand ITC" w:cs="Times New Roman"/>
          <w:b/>
          <w:i/>
          <w:sz w:val="40"/>
          <w:u w:val="single"/>
        </w:rPr>
        <w:t>.</w:t>
      </w:r>
    </w:p>
    <w:p w:rsidR="00FE6864" w:rsidRPr="00FE6864" w:rsidRDefault="00FE6864" w:rsidP="00C178C7">
      <w:pPr>
        <w:rPr>
          <w:rFonts w:ascii="Bradley Hand ITC" w:eastAsia="Calibri" w:hAnsi="Bradley Hand ITC" w:cs="Times New Roman"/>
          <w:b/>
          <w:i/>
          <w:sz w:val="40"/>
          <w:u w:val="single"/>
        </w:rPr>
      </w:pPr>
    </w:p>
    <w:p w:rsidR="00FE6864" w:rsidRPr="00FE6864" w:rsidRDefault="00C178C7" w:rsidP="00FE6864">
      <w:pPr>
        <w:jc w:val="center"/>
        <w:rPr>
          <w:rFonts w:ascii="Bradley Hand ITC" w:eastAsia="Calibri" w:hAnsi="Bradley Hand ITC" w:cs="Times New Roman"/>
          <w:b/>
          <w:i/>
          <w:sz w:val="40"/>
          <w:u w:val="single"/>
        </w:rPr>
      </w:pPr>
      <w:r>
        <w:rPr>
          <w:rFonts w:ascii="Bradley Hand ITC" w:eastAsia="Calibri" w:hAnsi="Bradley Hand ITC" w:cs="Times New Roman"/>
          <w:b/>
          <w:i/>
          <w:sz w:val="40"/>
          <w:u w:val="single"/>
        </w:rPr>
        <w:t>HISTORIA Y TIPOS DE ESTUDIOS EPIDEMIOLOGICOS</w:t>
      </w:r>
    </w:p>
    <w:p w:rsidR="00FE6864" w:rsidRPr="00FE6864" w:rsidRDefault="00FE6864" w:rsidP="00FE6864">
      <w:pPr>
        <w:jc w:val="center"/>
        <w:rPr>
          <w:rFonts w:ascii="Bradley Hand ITC" w:eastAsia="Calibri" w:hAnsi="Bradley Hand ITC" w:cs="Times New Roman"/>
          <w:b/>
          <w:i/>
          <w:sz w:val="40"/>
          <w:u w:val="single"/>
        </w:rPr>
      </w:pPr>
    </w:p>
    <w:p w:rsidR="00FE6864" w:rsidRPr="00FE6864" w:rsidRDefault="00FE6864" w:rsidP="00FE6864">
      <w:pPr>
        <w:jc w:val="center"/>
        <w:rPr>
          <w:rFonts w:ascii="Bradley Hand ITC" w:eastAsia="Calibri" w:hAnsi="Bradley Hand ITC" w:cs="Times New Roman"/>
          <w:b/>
          <w:i/>
          <w:sz w:val="40"/>
          <w:u w:val="single"/>
        </w:rPr>
      </w:pPr>
      <w:r w:rsidRPr="00FE6864">
        <w:rPr>
          <w:rFonts w:ascii="Bradley Hand ITC" w:eastAsia="Calibri" w:hAnsi="Bradley Hand ITC" w:cs="Times New Roman"/>
          <w:b/>
          <w:i/>
          <w:sz w:val="40"/>
          <w:u w:val="single"/>
        </w:rPr>
        <w:t xml:space="preserve">DR. </w:t>
      </w:r>
      <w:proofErr w:type="gramStart"/>
      <w:r w:rsidR="00C178C7">
        <w:rPr>
          <w:rFonts w:ascii="Bradley Hand ITC" w:eastAsia="Calibri" w:hAnsi="Bradley Hand ITC" w:cs="Times New Roman"/>
          <w:b/>
          <w:i/>
          <w:sz w:val="40"/>
          <w:u w:val="single"/>
        </w:rPr>
        <w:t xml:space="preserve">HUGO </w:t>
      </w:r>
      <w:r w:rsidRPr="00FE6864">
        <w:rPr>
          <w:rFonts w:ascii="Bradley Hand ITC" w:eastAsia="Calibri" w:hAnsi="Bradley Hand ITC" w:cs="Times New Roman"/>
          <w:b/>
          <w:i/>
          <w:sz w:val="40"/>
          <w:u w:val="single"/>
        </w:rPr>
        <w:t>.</w:t>
      </w:r>
      <w:proofErr w:type="gramEnd"/>
    </w:p>
    <w:p w:rsidR="00FE6864" w:rsidRPr="00FE6864" w:rsidRDefault="00FE6864" w:rsidP="00FE6864">
      <w:pPr>
        <w:jc w:val="center"/>
        <w:rPr>
          <w:rFonts w:ascii="Bradley Hand ITC" w:eastAsia="Calibri" w:hAnsi="Bradley Hand ITC" w:cs="Times New Roman"/>
          <w:b/>
          <w:i/>
          <w:sz w:val="40"/>
          <w:u w:val="single"/>
        </w:rPr>
      </w:pPr>
    </w:p>
    <w:p w:rsidR="00FE6864" w:rsidRPr="00FE6864" w:rsidRDefault="00FE6864" w:rsidP="00FE6864">
      <w:pPr>
        <w:jc w:val="center"/>
        <w:rPr>
          <w:rFonts w:ascii="Bradley Hand ITC" w:eastAsia="Calibri" w:hAnsi="Bradley Hand ITC" w:cs="Times New Roman"/>
          <w:b/>
          <w:i/>
          <w:sz w:val="40"/>
          <w:u w:val="single"/>
        </w:rPr>
      </w:pPr>
      <w:r w:rsidRPr="00FE6864">
        <w:rPr>
          <w:rFonts w:ascii="Bradley Hand ITC" w:eastAsia="Calibri" w:hAnsi="Bradley Hand ITC" w:cs="Times New Roman"/>
          <w:b/>
          <w:i/>
          <w:sz w:val="40"/>
          <w:u w:val="single"/>
        </w:rPr>
        <w:t>ALDO IVAN VILLALPANDO DOMINGUEZ.</w:t>
      </w:r>
    </w:p>
    <w:p w:rsidR="00FE6864" w:rsidRPr="00FE6864" w:rsidRDefault="00FE6864" w:rsidP="00FE6864">
      <w:pPr>
        <w:jc w:val="center"/>
        <w:rPr>
          <w:rFonts w:ascii="Bradley Hand ITC" w:eastAsia="Calibri" w:hAnsi="Bradley Hand ITC" w:cs="Times New Roman"/>
          <w:b/>
          <w:i/>
          <w:sz w:val="40"/>
          <w:u w:val="single"/>
        </w:rPr>
      </w:pPr>
    </w:p>
    <w:p w:rsidR="00FE6864" w:rsidRDefault="00FE6864" w:rsidP="00FE6864">
      <w:pPr>
        <w:rPr>
          <w:rFonts w:ascii="Arial" w:hAnsi="Arial" w:cs="Arial"/>
          <w:b/>
          <w:bCs/>
          <w:sz w:val="32"/>
          <w:szCs w:val="32"/>
        </w:rPr>
      </w:pPr>
      <w:r w:rsidRPr="00FE6864">
        <w:rPr>
          <w:rFonts w:ascii="Calibri" w:eastAsia="Calibri" w:hAnsi="Calibri" w:cs="Times New Roman"/>
        </w:rPr>
        <w:t xml:space="preserve">                                                      </w:t>
      </w:r>
      <w:r w:rsidRPr="00FE6864">
        <w:rPr>
          <w:rFonts w:ascii="Calibri" w:eastAsia="Calibri" w:hAnsi="Calibri" w:cs="Times New Roman"/>
          <w:b/>
          <w:i/>
          <w:u w:val="single"/>
        </w:rPr>
        <w:br w:type="page"/>
      </w:r>
    </w:p>
    <w:p w:rsidR="001403DA" w:rsidRDefault="001403DA" w:rsidP="001403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403DA">
        <w:rPr>
          <w:rFonts w:ascii="Arial" w:hAnsi="Arial" w:cs="Arial"/>
          <w:b/>
          <w:bCs/>
          <w:sz w:val="32"/>
          <w:szCs w:val="32"/>
        </w:rPr>
        <w:lastRenderedPageBreak/>
        <w:t>Historia de la Medicina Basada en la Evidencia</w:t>
      </w:r>
    </w:p>
    <w:p w:rsidR="001403DA" w:rsidRPr="001403DA" w:rsidRDefault="001403DA" w:rsidP="001403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403DA" w:rsidRPr="001403DA" w:rsidRDefault="001403DA" w:rsidP="001403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03DA">
        <w:rPr>
          <w:rFonts w:ascii="Arial" w:hAnsi="Arial" w:cs="Arial"/>
          <w:sz w:val="24"/>
          <w:szCs w:val="24"/>
        </w:rPr>
        <w:t>Al tratar de establecer un orden cronológico con lo</w:t>
      </w:r>
      <w:r w:rsidRPr="001403DA">
        <w:rPr>
          <w:rFonts w:ascii="Arial" w:hAnsi="Arial" w:cs="Arial"/>
          <w:sz w:val="24"/>
          <w:szCs w:val="24"/>
        </w:rPr>
        <w:t xml:space="preserve">s antecedentes de lo que hoy se </w:t>
      </w:r>
      <w:r w:rsidRPr="001403DA">
        <w:rPr>
          <w:rFonts w:ascii="Arial" w:hAnsi="Arial" w:cs="Arial"/>
          <w:sz w:val="24"/>
          <w:szCs w:val="24"/>
        </w:rPr>
        <w:t>conoce como Medicina Basada en la Evidencia, debe</w:t>
      </w:r>
      <w:r w:rsidRPr="001403DA">
        <w:rPr>
          <w:rFonts w:ascii="Arial" w:hAnsi="Arial" w:cs="Arial"/>
          <w:sz w:val="24"/>
          <w:szCs w:val="24"/>
        </w:rPr>
        <w:t xml:space="preserve">mos diferenciar entre sus bases filosóficas, y su </w:t>
      </w:r>
      <w:r w:rsidRPr="001403DA">
        <w:rPr>
          <w:rFonts w:ascii="Arial" w:hAnsi="Arial" w:cs="Arial"/>
          <w:sz w:val="24"/>
          <w:szCs w:val="24"/>
        </w:rPr>
        <w:t>reciente desarrollo. Poco es lo qu</w:t>
      </w:r>
      <w:r w:rsidRPr="001403DA">
        <w:rPr>
          <w:rFonts w:ascii="Arial" w:hAnsi="Arial" w:cs="Arial"/>
          <w:sz w:val="24"/>
          <w:szCs w:val="24"/>
        </w:rPr>
        <w:t xml:space="preserve">e se conoce de sus orígenes, al decir de sus entusiastas </w:t>
      </w:r>
      <w:r w:rsidRPr="001403DA">
        <w:rPr>
          <w:rFonts w:ascii="Arial" w:hAnsi="Arial" w:cs="Arial"/>
          <w:sz w:val="24"/>
          <w:szCs w:val="24"/>
        </w:rPr>
        <w:t>promotores, que fueron calificados como</w:t>
      </w:r>
      <w:r w:rsidRPr="001403DA">
        <w:rPr>
          <w:rFonts w:ascii="Arial" w:hAnsi="Arial" w:cs="Arial"/>
          <w:sz w:val="24"/>
          <w:szCs w:val="24"/>
        </w:rPr>
        <w:t xml:space="preserve"> escépticos postrevolucionarios </w:t>
      </w:r>
      <w:r w:rsidRPr="001403DA">
        <w:rPr>
          <w:rFonts w:ascii="Arial" w:hAnsi="Arial" w:cs="Arial"/>
          <w:sz w:val="24"/>
          <w:szCs w:val="24"/>
        </w:rPr>
        <w:t xml:space="preserve">de París de mediados del siglo XIX como </w:t>
      </w:r>
      <w:proofErr w:type="spellStart"/>
      <w:r w:rsidRPr="001403DA">
        <w:rPr>
          <w:rFonts w:ascii="Arial" w:hAnsi="Arial" w:cs="Arial"/>
          <w:sz w:val="24"/>
          <w:szCs w:val="24"/>
        </w:rPr>
        <w:t>Bichat</w:t>
      </w:r>
      <w:proofErr w:type="spellEnd"/>
      <w:r w:rsidRPr="001403DA">
        <w:rPr>
          <w:rFonts w:ascii="Arial" w:hAnsi="Arial" w:cs="Arial"/>
          <w:sz w:val="24"/>
          <w:szCs w:val="24"/>
        </w:rPr>
        <w:t>, Louis y Magendie1</w:t>
      </w:r>
      <w:r w:rsidRPr="001403DA">
        <w:rPr>
          <w:rFonts w:ascii="Arial" w:hAnsi="Arial" w:cs="Arial"/>
          <w:sz w:val="24"/>
          <w:szCs w:val="24"/>
        </w:rPr>
        <w:t xml:space="preserve">. </w:t>
      </w:r>
      <w:r w:rsidRPr="001403DA">
        <w:rPr>
          <w:rFonts w:ascii="Arial" w:hAnsi="Arial" w:cs="Arial"/>
          <w:sz w:val="24"/>
          <w:szCs w:val="24"/>
        </w:rPr>
        <w:t>Respecto de la historia más reciente debemos h</w:t>
      </w:r>
      <w:r w:rsidRPr="001403DA">
        <w:rPr>
          <w:rFonts w:ascii="Arial" w:hAnsi="Arial" w:cs="Arial"/>
          <w:sz w:val="24"/>
          <w:szCs w:val="24"/>
        </w:rPr>
        <w:t xml:space="preserve">acer referencia a la Escuela de </w:t>
      </w:r>
      <w:r w:rsidRPr="001403DA">
        <w:rPr>
          <w:rFonts w:ascii="Arial" w:hAnsi="Arial" w:cs="Arial"/>
          <w:sz w:val="24"/>
          <w:szCs w:val="24"/>
        </w:rPr>
        <w:t>Medicina de la Universidad Mc</w:t>
      </w:r>
      <w:r>
        <w:rPr>
          <w:rFonts w:ascii="Arial" w:hAnsi="Arial" w:cs="Arial"/>
          <w:sz w:val="24"/>
          <w:szCs w:val="24"/>
        </w:rPr>
        <w:t xml:space="preserve"> </w:t>
      </w:r>
      <w:r w:rsidRPr="001403DA">
        <w:rPr>
          <w:rFonts w:ascii="Arial" w:hAnsi="Arial" w:cs="Arial"/>
          <w:sz w:val="24"/>
          <w:szCs w:val="24"/>
        </w:rPr>
        <w:t>Master en Hamilton, Onta</w:t>
      </w:r>
      <w:r w:rsidRPr="001403DA">
        <w:rPr>
          <w:rFonts w:ascii="Arial" w:hAnsi="Arial" w:cs="Arial"/>
          <w:sz w:val="24"/>
          <w:szCs w:val="24"/>
        </w:rPr>
        <w:t xml:space="preserve">rio, Canadá. Esta referencia es </w:t>
      </w:r>
      <w:r w:rsidRPr="001403DA">
        <w:rPr>
          <w:rFonts w:ascii="Arial" w:hAnsi="Arial" w:cs="Arial"/>
          <w:sz w:val="24"/>
          <w:szCs w:val="24"/>
        </w:rPr>
        <w:t>de suma importancia pues lo novedoso de la propuesta</w:t>
      </w:r>
      <w:r w:rsidRPr="001403DA">
        <w:rPr>
          <w:rFonts w:ascii="Arial" w:hAnsi="Arial" w:cs="Arial"/>
          <w:sz w:val="24"/>
          <w:szCs w:val="24"/>
        </w:rPr>
        <w:t xml:space="preserve"> educativa que esta Universidad </w:t>
      </w:r>
      <w:r w:rsidRPr="001403DA">
        <w:rPr>
          <w:rFonts w:ascii="Arial" w:hAnsi="Arial" w:cs="Arial"/>
          <w:sz w:val="24"/>
          <w:szCs w:val="24"/>
        </w:rPr>
        <w:t>ha comenzado a desarrollar a fines de la década del '60</w:t>
      </w:r>
      <w:r w:rsidRPr="001403DA">
        <w:rPr>
          <w:rFonts w:ascii="Arial" w:hAnsi="Arial" w:cs="Arial"/>
          <w:sz w:val="24"/>
          <w:szCs w:val="24"/>
        </w:rPr>
        <w:t xml:space="preserve">, es su orientación comunitaria </w:t>
      </w:r>
      <w:r w:rsidRPr="001403DA">
        <w:rPr>
          <w:rFonts w:ascii="Arial" w:hAnsi="Arial" w:cs="Arial"/>
          <w:sz w:val="24"/>
          <w:szCs w:val="24"/>
        </w:rPr>
        <w:t>centrada en las personas, interdisciplinaria y con aprendizaje basado en problemas.</w:t>
      </w:r>
    </w:p>
    <w:p w:rsidR="00B02B47" w:rsidRDefault="001403DA" w:rsidP="001403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03DA">
        <w:rPr>
          <w:rFonts w:ascii="Arial" w:hAnsi="Arial" w:cs="Arial"/>
          <w:sz w:val="24"/>
          <w:szCs w:val="24"/>
        </w:rPr>
        <w:t>Este tipo de aprendizaje intenta que el profesional a par</w:t>
      </w:r>
      <w:r w:rsidRPr="001403DA">
        <w:rPr>
          <w:rFonts w:ascii="Arial" w:hAnsi="Arial" w:cs="Arial"/>
          <w:sz w:val="24"/>
          <w:szCs w:val="24"/>
        </w:rPr>
        <w:t xml:space="preserve">tir de la problemática del caso </w:t>
      </w:r>
      <w:r w:rsidRPr="001403DA">
        <w:rPr>
          <w:rFonts w:ascii="Arial" w:hAnsi="Arial" w:cs="Arial"/>
          <w:sz w:val="24"/>
          <w:szCs w:val="24"/>
        </w:rPr>
        <w:t>rastree los elementos de conocimiento necesarios p</w:t>
      </w:r>
      <w:r w:rsidRPr="001403DA">
        <w:rPr>
          <w:rFonts w:ascii="Arial" w:hAnsi="Arial" w:cs="Arial"/>
          <w:sz w:val="24"/>
          <w:szCs w:val="24"/>
        </w:rPr>
        <w:t xml:space="preserve">ara comprenderlo en el contexto en que se </w:t>
      </w:r>
      <w:r w:rsidRPr="001403DA">
        <w:rPr>
          <w:rFonts w:ascii="Arial" w:hAnsi="Arial" w:cs="Arial"/>
          <w:sz w:val="24"/>
          <w:szCs w:val="24"/>
        </w:rPr>
        <w:t>presentan en la realidad. El aprendizaje ba</w:t>
      </w:r>
      <w:r w:rsidRPr="001403DA">
        <w:rPr>
          <w:rFonts w:ascii="Arial" w:hAnsi="Arial" w:cs="Arial"/>
          <w:sz w:val="24"/>
          <w:szCs w:val="24"/>
        </w:rPr>
        <w:t xml:space="preserve">sado en problemas se estructura </w:t>
      </w:r>
      <w:r w:rsidRPr="001403DA">
        <w:rPr>
          <w:rFonts w:ascii="Arial" w:hAnsi="Arial" w:cs="Arial"/>
          <w:sz w:val="24"/>
          <w:szCs w:val="24"/>
        </w:rPr>
        <w:t xml:space="preserve">en tres estadios: la identificación del problema, </w:t>
      </w:r>
      <w:r w:rsidRPr="001403DA">
        <w:rPr>
          <w:rFonts w:ascii="Arial" w:hAnsi="Arial" w:cs="Arial"/>
          <w:sz w:val="24"/>
          <w:szCs w:val="24"/>
        </w:rPr>
        <w:t xml:space="preserve">la búsqueda de información y la </w:t>
      </w:r>
      <w:r w:rsidRPr="001403DA">
        <w:rPr>
          <w:rFonts w:ascii="Arial" w:hAnsi="Arial" w:cs="Arial"/>
          <w:sz w:val="24"/>
          <w:szCs w:val="24"/>
        </w:rPr>
        <w:t>resolución del problema. Más adelante veremos la e</w:t>
      </w:r>
      <w:r w:rsidRPr="001403DA">
        <w:rPr>
          <w:rFonts w:ascii="Arial" w:hAnsi="Arial" w:cs="Arial"/>
          <w:sz w:val="24"/>
          <w:szCs w:val="24"/>
        </w:rPr>
        <w:t xml:space="preserve">structura de la Medicina Basada </w:t>
      </w:r>
      <w:r w:rsidRPr="001403DA">
        <w:rPr>
          <w:rFonts w:ascii="Arial" w:hAnsi="Arial" w:cs="Arial"/>
          <w:sz w:val="24"/>
          <w:szCs w:val="24"/>
        </w:rPr>
        <w:t>en la Evidencia y podremos compararla con la del aprendizaje basado en problemas.</w:t>
      </w:r>
    </w:p>
    <w:p w:rsidR="001403DA" w:rsidRDefault="001403DA" w:rsidP="001403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03DA" w:rsidRDefault="001403DA" w:rsidP="001403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403DA">
        <w:rPr>
          <w:rFonts w:ascii="Arial" w:hAnsi="Arial" w:cs="Arial"/>
          <w:b/>
          <w:bCs/>
          <w:sz w:val="32"/>
          <w:szCs w:val="32"/>
        </w:rPr>
        <w:t>¿Qué es Medicina Basada en la Evidencia?</w:t>
      </w:r>
    </w:p>
    <w:p w:rsidR="001403DA" w:rsidRPr="001403DA" w:rsidRDefault="001403DA" w:rsidP="001403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403DA" w:rsidRPr="001403DA" w:rsidRDefault="001403DA" w:rsidP="001403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03DA">
        <w:rPr>
          <w:rFonts w:ascii="Arial" w:hAnsi="Arial" w:cs="Arial"/>
          <w:sz w:val="24"/>
          <w:szCs w:val="24"/>
        </w:rPr>
        <w:t>La Medicina Basada en la Evidencia ha sido definida co</w:t>
      </w:r>
      <w:r w:rsidRPr="001403DA">
        <w:rPr>
          <w:rFonts w:ascii="Arial" w:hAnsi="Arial" w:cs="Arial"/>
          <w:sz w:val="24"/>
          <w:szCs w:val="24"/>
        </w:rPr>
        <w:t xml:space="preserve">mo el uso consciente, explícito </w:t>
      </w:r>
      <w:r w:rsidRPr="001403DA">
        <w:rPr>
          <w:rFonts w:ascii="Arial" w:hAnsi="Arial" w:cs="Arial"/>
          <w:sz w:val="24"/>
          <w:szCs w:val="24"/>
        </w:rPr>
        <w:t>y prudente de la mejor evidencia médica disponible pa</w:t>
      </w:r>
      <w:r w:rsidRPr="001403DA">
        <w:rPr>
          <w:rFonts w:ascii="Arial" w:hAnsi="Arial" w:cs="Arial"/>
          <w:sz w:val="24"/>
          <w:szCs w:val="24"/>
        </w:rPr>
        <w:t xml:space="preserve">ra la toma de decisiones acerca </w:t>
      </w:r>
      <w:r w:rsidRPr="001403DA">
        <w:rPr>
          <w:rFonts w:ascii="Arial" w:hAnsi="Arial" w:cs="Arial"/>
          <w:sz w:val="24"/>
          <w:szCs w:val="24"/>
        </w:rPr>
        <w:t xml:space="preserve">de la atención médica de pacientes individuales 7. </w:t>
      </w:r>
      <w:r w:rsidRPr="001403DA">
        <w:rPr>
          <w:rFonts w:ascii="Arial" w:hAnsi="Arial" w:cs="Arial"/>
          <w:sz w:val="24"/>
          <w:szCs w:val="24"/>
        </w:rPr>
        <w:t xml:space="preserve">Los conceptos incluidos en esta </w:t>
      </w:r>
      <w:r w:rsidRPr="001403DA">
        <w:rPr>
          <w:rFonts w:ascii="Arial" w:hAnsi="Arial" w:cs="Arial"/>
          <w:sz w:val="24"/>
          <w:szCs w:val="24"/>
        </w:rPr>
        <w:t>definición pueden aparecer como poco n</w:t>
      </w:r>
      <w:r w:rsidRPr="001403DA">
        <w:rPr>
          <w:rFonts w:ascii="Arial" w:hAnsi="Arial" w:cs="Arial"/>
          <w:sz w:val="24"/>
          <w:szCs w:val="24"/>
        </w:rPr>
        <w:t xml:space="preserve">ovedosos para algunas personas. </w:t>
      </w:r>
      <w:r w:rsidRPr="001403DA">
        <w:rPr>
          <w:rFonts w:ascii="Arial" w:hAnsi="Arial" w:cs="Arial"/>
          <w:sz w:val="24"/>
          <w:szCs w:val="24"/>
        </w:rPr>
        <w:t xml:space="preserve">Ciertamente, muchos profesionales ponen en </w:t>
      </w:r>
      <w:proofErr w:type="spellStart"/>
      <w:proofErr w:type="gramStart"/>
      <w:r w:rsidRPr="001403DA">
        <w:rPr>
          <w:rFonts w:ascii="Arial" w:hAnsi="Arial" w:cs="Arial"/>
          <w:sz w:val="24"/>
          <w:szCs w:val="24"/>
        </w:rPr>
        <w:t>practica</w:t>
      </w:r>
      <w:proofErr w:type="spellEnd"/>
      <w:proofErr w:type="gramEnd"/>
      <w:r w:rsidRPr="001403DA">
        <w:rPr>
          <w:rFonts w:ascii="Arial" w:hAnsi="Arial" w:cs="Arial"/>
          <w:sz w:val="24"/>
          <w:szCs w:val="24"/>
        </w:rPr>
        <w:t xml:space="preserve"> ésta conducta desde hace largo </w:t>
      </w:r>
      <w:r w:rsidRPr="001403DA">
        <w:rPr>
          <w:rFonts w:ascii="Arial" w:hAnsi="Arial" w:cs="Arial"/>
          <w:sz w:val="24"/>
          <w:szCs w:val="24"/>
        </w:rPr>
        <w:t>tiempo. Sin embargo, la Medicina Basada en la Eviden</w:t>
      </w:r>
      <w:r w:rsidRPr="001403DA">
        <w:rPr>
          <w:rFonts w:ascii="Arial" w:hAnsi="Arial" w:cs="Arial"/>
          <w:sz w:val="24"/>
          <w:szCs w:val="24"/>
        </w:rPr>
        <w:t xml:space="preserve">cia sistematiza la búsqueda, el </w:t>
      </w:r>
      <w:r w:rsidRPr="001403DA">
        <w:rPr>
          <w:rFonts w:ascii="Arial" w:hAnsi="Arial" w:cs="Arial"/>
          <w:sz w:val="24"/>
          <w:szCs w:val="24"/>
        </w:rPr>
        <w:t>análisis y la aplicación de la evidencia, poniendo el acent</w:t>
      </w:r>
      <w:r w:rsidRPr="001403DA">
        <w:rPr>
          <w:rFonts w:ascii="Arial" w:hAnsi="Arial" w:cs="Arial"/>
          <w:sz w:val="24"/>
          <w:szCs w:val="24"/>
        </w:rPr>
        <w:t xml:space="preserve">o en el aspecto docente y en la </w:t>
      </w:r>
      <w:r w:rsidRPr="001403DA">
        <w:rPr>
          <w:rFonts w:ascii="Arial" w:hAnsi="Arial" w:cs="Arial"/>
          <w:sz w:val="24"/>
          <w:szCs w:val="24"/>
        </w:rPr>
        <w:t>difusión de éstas sistemáticas.</w:t>
      </w:r>
    </w:p>
    <w:p w:rsidR="001403DA" w:rsidRDefault="001403DA" w:rsidP="00140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03DA">
        <w:rPr>
          <w:rFonts w:ascii="Arial" w:hAnsi="Arial" w:cs="Arial"/>
          <w:sz w:val="24"/>
          <w:szCs w:val="24"/>
        </w:rPr>
        <w:t xml:space="preserve">Medicina Basada en la Evidencia ha sido definida como un </w:t>
      </w:r>
      <w:r w:rsidRPr="001403DA">
        <w:rPr>
          <w:rFonts w:ascii="Arial" w:hAnsi="Arial" w:cs="Arial"/>
          <w:b/>
          <w:bCs/>
          <w:i/>
          <w:iCs/>
          <w:sz w:val="24"/>
          <w:szCs w:val="24"/>
        </w:rPr>
        <w:t xml:space="preserve">proceso </w:t>
      </w:r>
      <w:r w:rsidRPr="001403DA">
        <w:rPr>
          <w:rFonts w:ascii="Arial" w:hAnsi="Arial" w:cs="Arial"/>
          <w:sz w:val="24"/>
          <w:szCs w:val="24"/>
        </w:rPr>
        <w:t xml:space="preserve">que consiste en la </w:t>
      </w:r>
      <w:r w:rsidRPr="001403DA">
        <w:rPr>
          <w:rFonts w:ascii="Arial" w:hAnsi="Arial" w:cs="Arial"/>
          <w:sz w:val="24"/>
          <w:szCs w:val="24"/>
        </w:rPr>
        <w:t xml:space="preserve">incorporación de la </w:t>
      </w:r>
      <w:r w:rsidRPr="001403DA">
        <w:rPr>
          <w:rFonts w:ascii="Arial" w:hAnsi="Arial" w:cs="Arial"/>
          <w:b/>
          <w:bCs/>
          <w:i/>
          <w:iCs/>
          <w:sz w:val="24"/>
          <w:szCs w:val="24"/>
        </w:rPr>
        <w:t xml:space="preserve">mejor evidencia </w:t>
      </w:r>
      <w:r w:rsidRPr="001403DA">
        <w:rPr>
          <w:rFonts w:ascii="Arial" w:hAnsi="Arial" w:cs="Arial"/>
          <w:sz w:val="24"/>
          <w:szCs w:val="24"/>
        </w:rPr>
        <w:t xml:space="preserve">dentro de la </w:t>
      </w:r>
      <w:r w:rsidRPr="001403DA">
        <w:rPr>
          <w:rFonts w:ascii="Arial" w:hAnsi="Arial" w:cs="Arial"/>
          <w:b/>
          <w:bCs/>
          <w:i/>
          <w:iCs/>
          <w:sz w:val="24"/>
          <w:szCs w:val="24"/>
        </w:rPr>
        <w:t>práctica médica diaria</w:t>
      </w:r>
      <w:r w:rsidRPr="001403DA">
        <w:rPr>
          <w:rFonts w:ascii="Arial" w:hAnsi="Arial" w:cs="Arial"/>
          <w:sz w:val="24"/>
          <w:szCs w:val="24"/>
        </w:rPr>
        <w:t>.</w:t>
      </w:r>
    </w:p>
    <w:p w:rsidR="001403DA" w:rsidRDefault="001403DA" w:rsidP="00140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1403DA" w:rsidRDefault="001403DA" w:rsidP="00140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1403DA" w:rsidRDefault="001403DA" w:rsidP="00140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1403DA" w:rsidRDefault="001403DA" w:rsidP="00140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1403DA" w:rsidRDefault="001403DA" w:rsidP="00140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1403DA" w:rsidRDefault="001403DA" w:rsidP="00140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1403DA" w:rsidRPr="001403DA" w:rsidRDefault="001403DA" w:rsidP="00140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  <w:proofErr w:type="spellStart"/>
      <w:r w:rsidRPr="001403DA">
        <w:rPr>
          <w:rFonts w:ascii="Arial" w:hAnsi="Arial" w:cs="Arial"/>
          <w:b/>
          <w:bCs/>
          <w:sz w:val="21"/>
          <w:szCs w:val="21"/>
          <w:lang w:val="en-US"/>
        </w:rPr>
        <w:t>Referencias</w:t>
      </w:r>
      <w:proofErr w:type="spellEnd"/>
    </w:p>
    <w:p w:rsidR="001403DA" w:rsidRPr="001403DA" w:rsidRDefault="001403DA" w:rsidP="00140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403DA">
        <w:rPr>
          <w:rFonts w:ascii="Arial" w:hAnsi="Arial" w:cs="Arial"/>
          <w:sz w:val="18"/>
          <w:szCs w:val="18"/>
          <w:lang w:val="en-US"/>
        </w:rPr>
        <w:t xml:space="preserve">1 </w:t>
      </w:r>
      <w:proofErr w:type="spellStart"/>
      <w:r w:rsidRPr="001403DA">
        <w:rPr>
          <w:rFonts w:ascii="Arial" w:hAnsi="Arial" w:cs="Arial"/>
          <w:sz w:val="18"/>
          <w:szCs w:val="18"/>
          <w:lang w:val="en-US"/>
        </w:rPr>
        <w:t>Sackett</w:t>
      </w:r>
      <w:proofErr w:type="spellEnd"/>
      <w:r w:rsidRPr="001403DA">
        <w:rPr>
          <w:rFonts w:ascii="Arial" w:hAnsi="Arial" w:cs="Arial"/>
          <w:sz w:val="18"/>
          <w:szCs w:val="18"/>
          <w:lang w:val="en-US"/>
        </w:rPr>
        <w:t xml:space="preserve"> DL, Rosenberg WMC, Muir Gray JA, Haynes RB, Scott Richardson W. Evidence based</w:t>
      </w:r>
    </w:p>
    <w:p w:rsidR="001403DA" w:rsidRDefault="001403DA" w:rsidP="00140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1403DA">
        <w:rPr>
          <w:rFonts w:ascii="Arial" w:hAnsi="Arial" w:cs="Arial"/>
          <w:sz w:val="18"/>
          <w:szCs w:val="18"/>
          <w:lang w:val="en-US"/>
        </w:rPr>
        <w:t>medicine</w:t>
      </w:r>
      <w:proofErr w:type="gramEnd"/>
      <w:r w:rsidRPr="001403DA">
        <w:rPr>
          <w:rFonts w:ascii="Arial" w:hAnsi="Arial" w:cs="Arial"/>
          <w:sz w:val="18"/>
          <w:szCs w:val="18"/>
          <w:lang w:val="en-US"/>
        </w:rPr>
        <w:t xml:space="preserve">: What it is and what it isn't. </w:t>
      </w:r>
      <w:r>
        <w:rPr>
          <w:rFonts w:ascii="Arial" w:hAnsi="Arial" w:cs="Arial"/>
          <w:sz w:val="18"/>
          <w:szCs w:val="18"/>
        </w:rPr>
        <w:t>BMJ 1996, 312: 71-2.</w:t>
      </w:r>
    </w:p>
    <w:p w:rsidR="001403DA" w:rsidRDefault="001403DA" w:rsidP="00140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</w:t>
      </w:r>
      <w:proofErr w:type="spellStart"/>
      <w:r>
        <w:rPr>
          <w:rFonts w:ascii="Arial" w:hAnsi="Arial" w:cs="Arial"/>
          <w:sz w:val="18"/>
          <w:szCs w:val="18"/>
        </w:rPr>
        <w:t>Sackett</w:t>
      </w:r>
      <w:proofErr w:type="spellEnd"/>
      <w:r>
        <w:rPr>
          <w:rFonts w:ascii="Arial" w:hAnsi="Arial" w:cs="Arial"/>
          <w:sz w:val="18"/>
          <w:szCs w:val="18"/>
        </w:rPr>
        <w:t xml:space="preserve"> D, </w:t>
      </w:r>
      <w:proofErr w:type="spellStart"/>
      <w:r>
        <w:rPr>
          <w:rFonts w:ascii="Arial" w:hAnsi="Arial" w:cs="Arial"/>
          <w:sz w:val="18"/>
          <w:szCs w:val="18"/>
        </w:rPr>
        <w:t>HaynesRB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Guyatt</w:t>
      </w:r>
      <w:proofErr w:type="spellEnd"/>
      <w:r>
        <w:rPr>
          <w:rFonts w:ascii="Arial" w:hAnsi="Arial" w:cs="Arial"/>
          <w:sz w:val="18"/>
          <w:szCs w:val="18"/>
        </w:rPr>
        <w:t xml:space="preserve"> GH, </w:t>
      </w:r>
      <w:proofErr w:type="spellStart"/>
      <w:r>
        <w:rPr>
          <w:rFonts w:ascii="Arial" w:hAnsi="Arial" w:cs="Arial"/>
          <w:sz w:val="18"/>
          <w:szCs w:val="18"/>
        </w:rPr>
        <w:t>Tugwell</w:t>
      </w:r>
      <w:proofErr w:type="spellEnd"/>
      <w:r>
        <w:rPr>
          <w:rFonts w:ascii="Arial" w:hAnsi="Arial" w:cs="Arial"/>
          <w:sz w:val="18"/>
          <w:szCs w:val="18"/>
        </w:rPr>
        <w:t xml:space="preserve"> P. Epidemiología clínica: ciencia básica para la medicina</w:t>
      </w:r>
    </w:p>
    <w:p w:rsidR="001403DA" w:rsidRDefault="001403DA" w:rsidP="00140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clínica</w:t>
      </w:r>
      <w:proofErr w:type="gramEnd"/>
      <w:r>
        <w:rPr>
          <w:rFonts w:ascii="Arial" w:hAnsi="Arial" w:cs="Arial"/>
          <w:sz w:val="18"/>
          <w:szCs w:val="18"/>
        </w:rPr>
        <w:t>. 2ª. Ed. Buenos Aires: Editorial Médica Panamericana 1991.</w:t>
      </w:r>
    </w:p>
    <w:p w:rsidR="001403DA" w:rsidRDefault="001403DA" w:rsidP="00140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03DA" w:rsidRDefault="001403DA" w:rsidP="00140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03DA" w:rsidRDefault="001403DA" w:rsidP="00140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03DA" w:rsidRDefault="001403DA" w:rsidP="00140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3750" w:type="pct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32"/>
        <w:gridCol w:w="3333"/>
      </w:tblGrid>
      <w:tr w:rsidR="00FE6864" w:rsidRPr="00FE6864" w:rsidTr="00FE6864">
        <w:trPr>
          <w:jc w:val="center"/>
        </w:trPr>
        <w:tc>
          <w:tcPr>
            <w:tcW w:w="5000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8888"/>
            <w:vAlign w:val="center"/>
            <w:hideMark/>
          </w:tcPr>
          <w:p w:rsidR="00FE6864" w:rsidRPr="00FE6864" w:rsidRDefault="00FE6864" w:rsidP="00FE686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Tabla 1.  Tipos de Estudios Epidemiológicos I</w:t>
            </w:r>
          </w:p>
        </w:tc>
      </w:tr>
      <w:tr w:rsidR="00FE6864" w:rsidRPr="00FE6864" w:rsidTr="00FE6864">
        <w:trPr>
          <w:jc w:val="center"/>
        </w:trPr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5E5E5"/>
            <w:vAlign w:val="center"/>
            <w:hideMark/>
          </w:tcPr>
          <w:p w:rsidR="00FE6864" w:rsidRPr="00FE6864" w:rsidRDefault="00FE6864" w:rsidP="00FE6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MX"/>
              </w:rPr>
              <w:t>Experimentales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5E5E5"/>
            <w:vAlign w:val="center"/>
            <w:hideMark/>
          </w:tcPr>
          <w:p w:rsidR="00FE6864" w:rsidRPr="00FE6864" w:rsidRDefault="00FE6864" w:rsidP="00FE6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MX"/>
              </w:rPr>
              <w:t>No Experimentales</w:t>
            </w:r>
          </w:p>
        </w:tc>
      </w:tr>
      <w:tr w:rsidR="00FE6864" w:rsidRPr="00FE6864" w:rsidTr="00FE6864">
        <w:trPr>
          <w:jc w:val="center"/>
        </w:trPr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6F6F6"/>
            <w:vAlign w:val="center"/>
            <w:hideMark/>
          </w:tcPr>
          <w:p w:rsidR="00FE6864" w:rsidRPr="00FE6864" w:rsidRDefault="00FE6864" w:rsidP="00FE68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Ensayo clínico </w:t>
            </w:r>
          </w:p>
          <w:p w:rsidR="00FE6864" w:rsidRPr="00FE6864" w:rsidRDefault="00FE6864" w:rsidP="00FE68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Ensayo de campo </w:t>
            </w:r>
          </w:p>
          <w:p w:rsidR="00FE6864" w:rsidRPr="00FE6864" w:rsidRDefault="00FE6864" w:rsidP="00FE68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Ensayo comunitario de intervención 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6F6F6"/>
            <w:vAlign w:val="center"/>
            <w:hideMark/>
          </w:tcPr>
          <w:p w:rsidR="00FE6864" w:rsidRPr="00FE6864" w:rsidRDefault="00FE6864" w:rsidP="00FE68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Estudios ecológicos </w:t>
            </w:r>
          </w:p>
          <w:p w:rsidR="00FE6864" w:rsidRPr="00FE6864" w:rsidRDefault="00FE6864" w:rsidP="00FE68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Estudios de prevalencia </w:t>
            </w:r>
          </w:p>
          <w:p w:rsidR="00FE6864" w:rsidRPr="00FE6864" w:rsidRDefault="00FE6864" w:rsidP="00FE68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Estudios de casos y controles </w:t>
            </w:r>
          </w:p>
          <w:p w:rsidR="00FE6864" w:rsidRPr="00FE6864" w:rsidRDefault="00FE6864" w:rsidP="00FE68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Estudios de cohortes o de seguimiento </w:t>
            </w:r>
          </w:p>
        </w:tc>
      </w:tr>
    </w:tbl>
    <w:p w:rsidR="00FE6864" w:rsidRPr="00FE6864" w:rsidRDefault="00FE6864" w:rsidP="00FE686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3754" w:type="pct"/>
        <w:jc w:val="center"/>
        <w:tblInd w:w="-6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248"/>
      </w:tblGrid>
      <w:tr w:rsidR="00FE6864" w:rsidRPr="00FE6864" w:rsidTr="00FE6864">
        <w:trPr>
          <w:jc w:val="center"/>
        </w:trPr>
        <w:tc>
          <w:tcPr>
            <w:tcW w:w="500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8888"/>
            <w:vAlign w:val="center"/>
            <w:hideMark/>
          </w:tcPr>
          <w:p w:rsidR="00FE6864" w:rsidRPr="00FE6864" w:rsidRDefault="00FE6864" w:rsidP="00FE686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  <w:t>Tabla 2.  Tipos de Estudios Epidemiológicos II</w:t>
            </w:r>
          </w:p>
        </w:tc>
      </w:tr>
      <w:tr w:rsidR="00FE6864" w:rsidRPr="00FE6864" w:rsidTr="00FE6864">
        <w:trPr>
          <w:jc w:val="center"/>
        </w:trPr>
        <w:tc>
          <w:tcPr>
            <w:tcW w:w="500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5E5E5"/>
            <w:vAlign w:val="center"/>
            <w:hideMark/>
          </w:tcPr>
          <w:p w:rsidR="00FE6864" w:rsidRPr="00FE6864" w:rsidRDefault="00FE6864" w:rsidP="00FE68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MX"/>
              </w:rPr>
              <w:t>          DESCRIPTIVOS</w:t>
            </w:r>
          </w:p>
        </w:tc>
      </w:tr>
      <w:tr w:rsidR="00FE6864" w:rsidRPr="00FE6864" w:rsidTr="00FE6864">
        <w:trPr>
          <w:jc w:val="center"/>
        </w:trPr>
        <w:tc>
          <w:tcPr>
            <w:tcW w:w="500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6F6F6"/>
            <w:vAlign w:val="center"/>
            <w:hideMark/>
          </w:tcPr>
          <w:p w:rsidR="00FE6864" w:rsidRPr="00FE6864" w:rsidRDefault="00FE6864" w:rsidP="00FE6864">
            <w:pPr>
              <w:numPr>
                <w:ilvl w:val="0"/>
                <w:numId w:val="3"/>
              </w:numPr>
              <w:spacing w:beforeAutospacing="1" w:after="100" w:afterAutospacing="1" w:line="240" w:lineRule="auto"/>
              <w:ind w:left="1440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MX"/>
              </w:rPr>
              <w:t>En Poblaciones</w:t>
            </w:r>
            <w:r w:rsidRPr="00FE6864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 </w:t>
            </w:r>
          </w:p>
          <w:p w:rsidR="00FE6864" w:rsidRPr="00FE6864" w:rsidRDefault="00FE6864" w:rsidP="00FE686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left="2160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Estudios ecológicos </w:t>
            </w:r>
          </w:p>
          <w:p w:rsidR="00FE6864" w:rsidRPr="00FE6864" w:rsidRDefault="00FE6864" w:rsidP="00FE68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MX"/>
              </w:rPr>
              <w:t>En Individuos</w:t>
            </w:r>
            <w:r w:rsidRPr="00FE6864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 </w:t>
            </w:r>
          </w:p>
          <w:p w:rsidR="00FE6864" w:rsidRPr="00FE6864" w:rsidRDefault="00FE6864" w:rsidP="00FE686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left="2160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A propósito de un caso </w:t>
            </w:r>
          </w:p>
          <w:p w:rsidR="00FE6864" w:rsidRPr="00FE6864" w:rsidRDefault="00FE6864" w:rsidP="00FE686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left="2160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Series de casos </w:t>
            </w:r>
          </w:p>
          <w:p w:rsidR="00FE6864" w:rsidRPr="00FE6864" w:rsidRDefault="00FE6864" w:rsidP="00FE686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left="2160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Transversales / Prevalencia </w:t>
            </w:r>
          </w:p>
        </w:tc>
      </w:tr>
      <w:tr w:rsidR="00FE6864" w:rsidRPr="00FE6864" w:rsidTr="00FE6864">
        <w:trPr>
          <w:jc w:val="center"/>
        </w:trPr>
        <w:tc>
          <w:tcPr>
            <w:tcW w:w="500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5E5E5"/>
            <w:vAlign w:val="center"/>
            <w:hideMark/>
          </w:tcPr>
          <w:p w:rsidR="00FE6864" w:rsidRPr="00FE6864" w:rsidRDefault="00FE6864" w:rsidP="00FE68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MX"/>
              </w:rPr>
              <w:t>          ANALÍTICOS</w:t>
            </w:r>
          </w:p>
        </w:tc>
      </w:tr>
      <w:tr w:rsidR="00FE6864" w:rsidRPr="00FE6864" w:rsidTr="00FE6864">
        <w:trPr>
          <w:jc w:val="center"/>
        </w:trPr>
        <w:tc>
          <w:tcPr>
            <w:tcW w:w="500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6F6F6"/>
            <w:vAlign w:val="center"/>
            <w:hideMark/>
          </w:tcPr>
          <w:p w:rsidR="00FE6864" w:rsidRPr="00FE6864" w:rsidRDefault="00FE6864" w:rsidP="00FE6864">
            <w:pPr>
              <w:numPr>
                <w:ilvl w:val="0"/>
                <w:numId w:val="4"/>
              </w:numPr>
              <w:spacing w:beforeAutospacing="1" w:after="100" w:afterAutospacing="1" w:line="240" w:lineRule="auto"/>
              <w:ind w:left="1440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MX"/>
              </w:rPr>
              <w:t>Observacionales</w:t>
            </w:r>
            <w:r w:rsidRPr="00FE6864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 </w:t>
            </w:r>
          </w:p>
          <w:p w:rsidR="00FE6864" w:rsidRPr="00FE6864" w:rsidRDefault="00FE6864" w:rsidP="00FE6864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2160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Estudios de casos y controles </w:t>
            </w:r>
          </w:p>
          <w:p w:rsidR="00FE6864" w:rsidRPr="00FE6864" w:rsidRDefault="00FE6864" w:rsidP="00FE6864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2160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Estudios de cohortes (retrospectivos y prospectivos) </w:t>
            </w:r>
          </w:p>
          <w:p w:rsidR="00FE6864" w:rsidRPr="00FE6864" w:rsidRDefault="00FE6864" w:rsidP="00FE68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MX"/>
              </w:rPr>
              <w:t>Intervención</w:t>
            </w:r>
            <w:r w:rsidRPr="00FE6864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 </w:t>
            </w:r>
          </w:p>
          <w:p w:rsidR="00FE6864" w:rsidRPr="00FE6864" w:rsidRDefault="00FE6864" w:rsidP="00FE6864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2160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Ensayo clínico </w:t>
            </w:r>
          </w:p>
          <w:p w:rsidR="00FE6864" w:rsidRPr="00FE6864" w:rsidRDefault="00FE6864" w:rsidP="00FE6864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2160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Ensayo de campo </w:t>
            </w:r>
          </w:p>
          <w:p w:rsidR="00FE6864" w:rsidRPr="00FE6864" w:rsidRDefault="00FE6864" w:rsidP="00FE6864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2160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FE6864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Ensayo comunitario </w:t>
            </w:r>
          </w:p>
        </w:tc>
      </w:tr>
      <w:tr w:rsidR="00FE6864" w:rsidTr="00FE6864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6" w:type="pct"/>
          <w:jc w:val="center"/>
        </w:trPr>
        <w:tc>
          <w:tcPr>
            <w:tcW w:w="4814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8888"/>
            <w:vAlign w:val="center"/>
          </w:tcPr>
          <w:p w:rsidR="00FE6864" w:rsidRDefault="00FE6864" w:rsidP="00F67DE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Tabla 6.  Ventajas y limitaciones de los diferentes estudios epidemiológicos</w:t>
            </w:r>
          </w:p>
        </w:tc>
      </w:tr>
      <w:tr w:rsidR="00FE6864" w:rsidTr="00FE6864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6" w:type="pct"/>
          <w:jc w:val="center"/>
        </w:trPr>
        <w:tc>
          <w:tcPr>
            <w:tcW w:w="4814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5E5E5"/>
            <w:vAlign w:val="center"/>
          </w:tcPr>
          <w:p w:rsidR="00FE6864" w:rsidRDefault="00FE6864" w:rsidP="00F67D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Ensayos Clínicos</w:t>
            </w:r>
          </w:p>
        </w:tc>
      </w:tr>
      <w:tr w:rsidR="00FE6864" w:rsidTr="00FE6864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6" w:type="pct"/>
          <w:jc w:val="center"/>
        </w:trPr>
        <w:tc>
          <w:tcPr>
            <w:tcW w:w="24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6F6F6"/>
            <w:vAlign w:val="center"/>
          </w:tcPr>
          <w:p w:rsidR="00FE6864" w:rsidRDefault="00FE6864" w:rsidP="00F67D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Ventajas</w:t>
            </w:r>
          </w:p>
        </w:tc>
        <w:tc>
          <w:tcPr>
            <w:tcW w:w="24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6F6F6"/>
            <w:vAlign w:val="center"/>
          </w:tcPr>
          <w:p w:rsidR="00FE6864" w:rsidRDefault="00FE6864" w:rsidP="00F67D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Limitaciones</w:t>
            </w:r>
          </w:p>
        </w:tc>
      </w:tr>
      <w:tr w:rsidR="00FE6864" w:rsidTr="00FE6864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6" w:type="pct"/>
          <w:jc w:val="center"/>
        </w:trPr>
        <w:tc>
          <w:tcPr>
            <w:tcW w:w="24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6F6F6"/>
          </w:tcPr>
          <w:p w:rsidR="00FE6864" w:rsidRDefault="00FE6864" w:rsidP="00FE68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Mayor control en el diseño. </w:t>
            </w:r>
          </w:p>
          <w:p w:rsidR="00FE6864" w:rsidRDefault="00FE6864" w:rsidP="00FE68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Menos posibilidad de sesgos debido a la selección aleatoria de los grupos. </w:t>
            </w:r>
          </w:p>
          <w:p w:rsidR="00FE6864" w:rsidRDefault="00FE6864" w:rsidP="00FE68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Repetibles y comparables con otras experiencias. </w:t>
            </w:r>
          </w:p>
        </w:tc>
        <w:tc>
          <w:tcPr>
            <w:tcW w:w="24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6F6F6"/>
          </w:tcPr>
          <w:p w:rsidR="00FE6864" w:rsidRDefault="00FE6864" w:rsidP="00FE68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Coste elevado. </w:t>
            </w:r>
          </w:p>
          <w:p w:rsidR="00FE6864" w:rsidRDefault="00FE6864" w:rsidP="00FE68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Limitaciones de tipo ético y responsabilidad en la manipulación de la exposición. </w:t>
            </w:r>
          </w:p>
          <w:p w:rsidR="00FE6864" w:rsidRDefault="00FE6864" w:rsidP="00FE68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Dificultades en la generalización debido a la selección y o a la propia rigidez de la intervención. </w:t>
            </w:r>
          </w:p>
        </w:tc>
      </w:tr>
      <w:tr w:rsidR="00FE6864" w:rsidTr="00FE6864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6" w:type="pct"/>
          <w:jc w:val="center"/>
        </w:trPr>
        <w:tc>
          <w:tcPr>
            <w:tcW w:w="4814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5E5E5"/>
          </w:tcPr>
          <w:p w:rsidR="00FE6864" w:rsidRDefault="00FE6864" w:rsidP="00F67DE8">
            <w:pPr>
              <w:pStyle w:val="Normal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Estudios de Cohortes</w:t>
            </w:r>
          </w:p>
        </w:tc>
      </w:tr>
      <w:tr w:rsidR="00FE6864" w:rsidTr="00FE6864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6" w:type="pct"/>
          <w:jc w:val="center"/>
        </w:trPr>
        <w:tc>
          <w:tcPr>
            <w:tcW w:w="24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6F6F6"/>
          </w:tcPr>
          <w:p w:rsidR="00FE6864" w:rsidRDefault="00FE6864" w:rsidP="00F67DE8">
            <w:pPr>
              <w:pStyle w:val="Normal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Ventajas</w:t>
            </w:r>
          </w:p>
        </w:tc>
        <w:tc>
          <w:tcPr>
            <w:tcW w:w="24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6F6F6"/>
          </w:tcPr>
          <w:p w:rsidR="00FE6864" w:rsidRDefault="00FE6864" w:rsidP="00F67DE8">
            <w:pPr>
              <w:pStyle w:val="Normal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Limitaciones</w:t>
            </w:r>
          </w:p>
        </w:tc>
      </w:tr>
      <w:tr w:rsidR="00FE6864" w:rsidTr="00FE6864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6" w:type="pct"/>
          <w:jc w:val="center"/>
        </w:trPr>
        <w:tc>
          <w:tcPr>
            <w:tcW w:w="24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6F6F6"/>
          </w:tcPr>
          <w:p w:rsidR="00FE6864" w:rsidRDefault="00FE6864" w:rsidP="00FE686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Estiman incidencia. </w:t>
            </w:r>
          </w:p>
          <w:p w:rsidR="00FE6864" w:rsidRDefault="00FE6864" w:rsidP="00FE686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Mejor posibilidad de sesgos en la medición de la exposición. </w:t>
            </w:r>
          </w:p>
        </w:tc>
        <w:tc>
          <w:tcPr>
            <w:tcW w:w="24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6F6F6"/>
          </w:tcPr>
          <w:p w:rsidR="00FE6864" w:rsidRDefault="00FE6864" w:rsidP="00FE68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Coste elevado. </w:t>
            </w:r>
          </w:p>
          <w:p w:rsidR="00FE6864" w:rsidRDefault="00FE6864" w:rsidP="00FE68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Dificultad en la ejecución. </w:t>
            </w:r>
          </w:p>
          <w:p w:rsidR="00FE6864" w:rsidRDefault="00FE6864" w:rsidP="00FE68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 son útiles en enfermedades raras. </w:t>
            </w:r>
          </w:p>
          <w:p w:rsidR="00FE6864" w:rsidRDefault="00FE6864" w:rsidP="00FE68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Requieren generalmente un tamaño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muestral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elevado. </w:t>
            </w:r>
          </w:p>
          <w:p w:rsidR="00FE6864" w:rsidRDefault="00FE6864" w:rsidP="00FE68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El paso del tiempo puede introducir cambios en los métodos y criterios diagnósticos. </w:t>
            </w:r>
          </w:p>
          <w:p w:rsidR="00FE6864" w:rsidRDefault="00FE6864" w:rsidP="00FE68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Posibilidad de pérdida en el seguimiento. </w:t>
            </w:r>
          </w:p>
        </w:tc>
      </w:tr>
      <w:tr w:rsidR="00FE6864" w:rsidTr="00FE6864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6" w:type="pct"/>
          <w:jc w:val="center"/>
        </w:trPr>
        <w:tc>
          <w:tcPr>
            <w:tcW w:w="4814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5E5E5"/>
          </w:tcPr>
          <w:p w:rsidR="00FE6864" w:rsidRDefault="00FE6864" w:rsidP="00F67DE8">
            <w:pPr>
              <w:pStyle w:val="NormalWeb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E6864" w:rsidRDefault="00FE6864" w:rsidP="00F67DE8">
            <w:pPr>
              <w:pStyle w:val="Normal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Estudios de Casos y Controles</w:t>
            </w:r>
          </w:p>
        </w:tc>
      </w:tr>
      <w:tr w:rsidR="00FE6864" w:rsidTr="00FE6864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6" w:type="pct"/>
          <w:jc w:val="center"/>
        </w:trPr>
        <w:tc>
          <w:tcPr>
            <w:tcW w:w="24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6F6F6"/>
          </w:tcPr>
          <w:p w:rsidR="00FE6864" w:rsidRDefault="00FE6864" w:rsidP="00F67DE8">
            <w:pPr>
              <w:pStyle w:val="Normal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Ventajas</w:t>
            </w:r>
          </w:p>
        </w:tc>
        <w:tc>
          <w:tcPr>
            <w:tcW w:w="24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6F6F6"/>
          </w:tcPr>
          <w:p w:rsidR="00FE6864" w:rsidRDefault="00FE6864" w:rsidP="00F67DE8">
            <w:pPr>
              <w:pStyle w:val="Normal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Limitaciones</w:t>
            </w:r>
          </w:p>
        </w:tc>
      </w:tr>
      <w:tr w:rsidR="00FE6864" w:rsidTr="00FE6864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6" w:type="pct"/>
          <w:jc w:val="center"/>
        </w:trPr>
        <w:tc>
          <w:tcPr>
            <w:tcW w:w="24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6F6F6"/>
          </w:tcPr>
          <w:p w:rsidR="00FE6864" w:rsidRDefault="00FE6864" w:rsidP="00FE686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Relativamente menos costosos que los estudios de seguimiento. </w:t>
            </w:r>
          </w:p>
          <w:p w:rsidR="00FE6864" w:rsidRDefault="00FE6864" w:rsidP="00FE686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Corta duración. </w:t>
            </w:r>
          </w:p>
          <w:p w:rsidR="00FE6864" w:rsidRDefault="00FE6864" w:rsidP="00FE686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Aplicaciones para el estudio de enfermedades raras. </w:t>
            </w:r>
          </w:p>
          <w:p w:rsidR="00FE6864" w:rsidRDefault="00FE6864" w:rsidP="00FE686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Permite el análisis de varios factores de riesgo para una determinada enfermedad. </w:t>
            </w:r>
          </w:p>
        </w:tc>
        <w:tc>
          <w:tcPr>
            <w:tcW w:w="24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6F6F6"/>
          </w:tcPr>
          <w:p w:rsidR="00FE6864" w:rsidRDefault="00FE6864" w:rsidP="00FE68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 estiman directamente la incidencia. </w:t>
            </w:r>
          </w:p>
          <w:p w:rsidR="00FE6864" w:rsidRDefault="00FE6864" w:rsidP="00FE68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Facilidad de introducir sesgos de selección y/o información. </w:t>
            </w:r>
          </w:p>
          <w:p w:rsidR="00FE6864" w:rsidRDefault="00FE6864" w:rsidP="00FE68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La secuencia temporal entre exposición y enfermedad no siempre es fácil de establecer. </w:t>
            </w:r>
          </w:p>
        </w:tc>
      </w:tr>
      <w:tr w:rsidR="00FE6864" w:rsidTr="00FE6864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6" w:type="pct"/>
          <w:jc w:val="center"/>
        </w:trPr>
        <w:tc>
          <w:tcPr>
            <w:tcW w:w="4814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5E5E5"/>
          </w:tcPr>
          <w:p w:rsidR="00FE6864" w:rsidRDefault="00FE6864" w:rsidP="00F67DE8">
            <w:pPr>
              <w:pStyle w:val="Normal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Estudios Transversales</w:t>
            </w:r>
          </w:p>
        </w:tc>
      </w:tr>
      <w:tr w:rsidR="00FE6864" w:rsidTr="00FE6864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6" w:type="pct"/>
          <w:jc w:val="center"/>
        </w:trPr>
        <w:tc>
          <w:tcPr>
            <w:tcW w:w="24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6F6F6"/>
          </w:tcPr>
          <w:p w:rsidR="00FE6864" w:rsidRDefault="00FE6864" w:rsidP="00F67DE8">
            <w:pPr>
              <w:pStyle w:val="Normal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Ventajas</w:t>
            </w:r>
          </w:p>
        </w:tc>
        <w:tc>
          <w:tcPr>
            <w:tcW w:w="24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6F6F6"/>
          </w:tcPr>
          <w:p w:rsidR="00FE6864" w:rsidRDefault="00FE6864" w:rsidP="00F67DE8">
            <w:pPr>
              <w:pStyle w:val="NormalWeb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Limitaciones</w:t>
            </w:r>
          </w:p>
        </w:tc>
      </w:tr>
      <w:tr w:rsidR="00FE6864" w:rsidTr="00FE6864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86" w:type="pct"/>
          <w:jc w:val="center"/>
        </w:trPr>
        <w:tc>
          <w:tcPr>
            <w:tcW w:w="24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6F6F6"/>
          </w:tcPr>
          <w:p w:rsidR="00FE6864" w:rsidRDefault="00FE6864" w:rsidP="00FE686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Fáciles de ejecutar. </w:t>
            </w:r>
          </w:p>
          <w:p w:rsidR="00FE6864" w:rsidRDefault="00FE6864" w:rsidP="00FE686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Relativamente poco costosos. </w:t>
            </w:r>
          </w:p>
          <w:p w:rsidR="00FE6864" w:rsidRDefault="00FE6864" w:rsidP="00FE686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 pueden estudiar varias enfermedades y/o factores de riesgo a la vez. </w:t>
            </w:r>
          </w:p>
          <w:p w:rsidR="00FE6864" w:rsidRDefault="00FE6864" w:rsidP="00FE686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Caracterizan la distribución de la enfermedad respecto a diferentes variables. </w:t>
            </w:r>
          </w:p>
          <w:p w:rsidR="00FE6864" w:rsidRDefault="00FE6864" w:rsidP="00FE686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Precisan poco tiempo para su ejecución. </w:t>
            </w:r>
          </w:p>
          <w:p w:rsidR="00FE6864" w:rsidRDefault="00FE6864" w:rsidP="00FE686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Útiles en la planificación y Administración Sanitaria (Identifican el nivel de salud, los grupos vulnerables y la prevalencia). </w:t>
            </w:r>
          </w:p>
        </w:tc>
        <w:tc>
          <w:tcPr>
            <w:tcW w:w="24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6F6F6"/>
          </w:tcPr>
          <w:p w:rsidR="00FE6864" w:rsidRDefault="00FE6864" w:rsidP="00FE686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Por sí mismos no sirven para la investigación causal. </w:t>
            </w:r>
          </w:p>
          <w:p w:rsidR="00FE6864" w:rsidRDefault="00FE6864" w:rsidP="00FE686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 son útiles en enfermedades raras ni de corta duración. </w:t>
            </w:r>
          </w:p>
          <w:p w:rsidR="00FE6864" w:rsidRDefault="00FE6864" w:rsidP="00FE686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Posibilidad de sesgos de información y selección. </w:t>
            </w:r>
          </w:p>
        </w:tc>
      </w:tr>
    </w:tbl>
    <w:p w:rsidR="00FE6864" w:rsidRDefault="00FE6864" w:rsidP="00FE6864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s-MX"/>
        </w:rPr>
      </w:pPr>
    </w:p>
    <w:p w:rsidR="00FE6864" w:rsidRPr="00FE6864" w:rsidRDefault="00FE6864" w:rsidP="00FE6864">
      <w:pPr>
        <w:spacing w:after="0" w:line="240" w:lineRule="auto"/>
        <w:jc w:val="center"/>
        <w:rPr>
          <w:rFonts w:ascii="Times New Roman" w:eastAsia="Times New Roman" w:hAnsi="Symbol" w:cs="Times New Roman"/>
          <w:b/>
          <w:i/>
          <w:sz w:val="24"/>
          <w:szCs w:val="24"/>
          <w:u w:val="single"/>
          <w:lang w:eastAsia="es-MX"/>
        </w:rPr>
      </w:pPr>
      <w:r w:rsidRPr="00FE6864">
        <w:rPr>
          <w:rFonts w:ascii="Times New Roman" w:eastAsia="Times New Roman" w:hAnsi="Symbol" w:cs="Times New Roman"/>
          <w:b/>
          <w:i/>
          <w:sz w:val="24"/>
          <w:szCs w:val="24"/>
          <w:u w:val="single"/>
          <w:lang w:eastAsia="es-MX"/>
        </w:rPr>
        <w:t>BIBLIOGRAFIA</w:t>
      </w:r>
    </w:p>
    <w:p w:rsidR="00FE6864" w:rsidRDefault="00FE6864" w:rsidP="00FE6864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s-MX"/>
        </w:rPr>
      </w:pPr>
    </w:p>
    <w:p w:rsidR="00FE6864" w:rsidRPr="00FE6864" w:rsidRDefault="00FE6864" w:rsidP="00FE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E6864">
        <w:rPr>
          <w:rFonts w:ascii="Times New Roman" w:eastAsia="Times New Roman" w:hAnsi="Symbol" w:cs="Times New Roman"/>
          <w:sz w:val="24"/>
          <w:szCs w:val="24"/>
          <w:lang w:eastAsia="es-MX"/>
        </w:rPr>
        <w:t></w:t>
      </w:r>
      <w:r w:rsidRPr="00FE686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 </w:t>
      </w:r>
      <w:proofErr w:type="spellStart"/>
      <w:r w:rsidRPr="00FE686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MacMahon</w:t>
      </w:r>
      <w:proofErr w:type="spellEnd"/>
      <w:r w:rsidRPr="00FE686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B., </w:t>
      </w:r>
      <w:proofErr w:type="spellStart"/>
      <w:r w:rsidRPr="00FE686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Trichopoulos</w:t>
      </w:r>
      <w:proofErr w:type="spellEnd"/>
      <w:r w:rsidRPr="00FE686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D. Epidemiology: Principles and Methods. </w:t>
      </w:r>
      <w:r w:rsidRPr="00FE6864">
        <w:rPr>
          <w:rFonts w:ascii="Times New Roman" w:eastAsia="Times New Roman" w:hAnsi="Times New Roman" w:cs="Times New Roman"/>
          <w:sz w:val="24"/>
          <w:szCs w:val="24"/>
          <w:lang w:eastAsia="es-MX"/>
        </w:rPr>
        <w:t>2</w:t>
      </w:r>
      <w:r w:rsidRPr="00FE68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MX"/>
        </w:rPr>
        <w:t>nd</w:t>
      </w:r>
      <w:r w:rsidRPr="00FE686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ed. Boston: </w:t>
      </w:r>
      <w:proofErr w:type="spellStart"/>
      <w:r w:rsidRPr="00FE6864">
        <w:rPr>
          <w:rFonts w:ascii="Times New Roman" w:eastAsia="Times New Roman" w:hAnsi="Times New Roman" w:cs="Times New Roman"/>
          <w:sz w:val="24"/>
          <w:szCs w:val="24"/>
          <w:lang w:eastAsia="es-MX"/>
        </w:rPr>
        <w:t>Lippincott</w:t>
      </w:r>
      <w:proofErr w:type="spellEnd"/>
      <w:r w:rsidRPr="00FE686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Williams &amp; </w:t>
      </w:r>
      <w:proofErr w:type="spellStart"/>
      <w:r w:rsidRPr="00FE6864">
        <w:rPr>
          <w:rFonts w:ascii="Times New Roman" w:eastAsia="Times New Roman" w:hAnsi="Times New Roman" w:cs="Times New Roman"/>
          <w:sz w:val="24"/>
          <w:szCs w:val="24"/>
          <w:lang w:eastAsia="es-MX"/>
        </w:rPr>
        <w:t>Wilkins</w:t>
      </w:r>
      <w:proofErr w:type="spellEnd"/>
      <w:r w:rsidRPr="00FE6864">
        <w:rPr>
          <w:rFonts w:ascii="Times New Roman" w:eastAsia="Times New Roman" w:hAnsi="Times New Roman" w:cs="Times New Roman"/>
          <w:sz w:val="24"/>
          <w:szCs w:val="24"/>
          <w:lang w:eastAsia="es-MX"/>
        </w:rPr>
        <w:t>; 1996. [</w:t>
      </w:r>
      <w:hyperlink r:id="rId7" w:tgtFrame="_blank" w:history="1">
        <w:proofErr w:type="gramStart"/>
        <w:r w:rsidRPr="00FE6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editor</w:t>
        </w:r>
        <w:proofErr w:type="gramEnd"/>
      </w:hyperlink>
      <w:r w:rsidRPr="00FE686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] </w:t>
      </w:r>
    </w:p>
    <w:p w:rsidR="00FE6864" w:rsidRPr="00FE6864" w:rsidRDefault="00FE6864" w:rsidP="00FE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E6864">
        <w:rPr>
          <w:rFonts w:ascii="Times New Roman" w:eastAsia="Times New Roman" w:hAnsi="Symbol" w:cs="Times New Roman"/>
          <w:sz w:val="24"/>
          <w:szCs w:val="24"/>
          <w:lang w:eastAsia="es-MX"/>
        </w:rPr>
        <w:t></w:t>
      </w:r>
      <w:r w:rsidRPr="00FE686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</w:t>
      </w:r>
      <w:proofErr w:type="spellStart"/>
      <w:r w:rsidRPr="00FE6864">
        <w:rPr>
          <w:rFonts w:ascii="Times New Roman" w:eastAsia="Times New Roman" w:hAnsi="Times New Roman" w:cs="Times New Roman"/>
          <w:sz w:val="24"/>
          <w:szCs w:val="24"/>
          <w:lang w:eastAsia="es-MX"/>
        </w:rPr>
        <w:t>Jenicek</w:t>
      </w:r>
      <w:proofErr w:type="spellEnd"/>
      <w:r w:rsidRPr="00FE686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M., </w:t>
      </w:r>
      <w:proofErr w:type="spellStart"/>
      <w:r w:rsidRPr="00FE6864">
        <w:rPr>
          <w:rFonts w:ascii="Times New Roman" w:eastAsia="Times New Roman" w:hAnsi="Times New Roman" w:cs="Times New Roman"/>
          <w:sz w:val="24"/>
          <w:szCs w:val="24"/>
          <w:lang w:eastAsia="es-MX"/>
        </w:rPr>
        <w:t>Cleroux</w:t>
      </w:r>
      <w:proofErr w:type="spellEnd"/>
      <w:r w:rsidRPr="00FE686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R. Epidemiología: la lógica de la medicina moderna. Barcelona: </w:t>
      </w:r>
      <w:proofErr w:type="spellStart"/>
      <w:r w:rsidRPr="00FE6864">
        <w:rPr>
          <w:rFonts w:ascii="Times New Roman" w:eastAsia="Times New Roman" w:hAnsi="Times New Roman" w:cs="Times New Roman"/>
          <w:sz w:val="24"/>
          <w:szCs w:val="24"/>
          <w:lang w:eastAsia="es-MX"/>
        </w:rPr>
        <w:t>Masson</w:t>
      </w:r>
      <w:proofErr w:type="spellEnd"/>
      <w:r w:rsidRPr="00FE686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; 1996. </w:t>
      </w:r>
    </w:p>
    <w:p w:rsidR="00FE6864" w:rsidRPr="001403DA" w:rsidRDefault="00FE6864" w:rsidP="00FE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6864">
        <w:rPr>
          <w:rFonts w:ascii="Times New Roman" w:eastAsia="Times New Roman" w:hAnsi="Symbol" w:cs="Times New Roman"/>
          <w:sz w:val="24"/>
          <w:szCs w:val="24"/>
          <w:lang w:eastAsia="es-MX"/>
        </w:rPr>
        <w:t></w:t>
      </w:r>
      <w:r w:rsidRPr="00FE686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Armijo R.R. Epidemiología básica en Atención primaria de salud. Madrid: Díaz de Santos; 1993.</w:t>
      </w:r>
    </w:p>
    <w:sectPr w:rsidR="00FE6864" w:rsidRPr="001403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6" type="#_x0000_t75" style="width:3pt;height:3.75pt" o:bullet="t">
        <v:imagedata r:id="rId1" o:title="cuadrado"/>
      </v:shape>
    </w:pict>
  </w:numPicBullet>
  <w:numPicBullet w:numPicBulletId="1">
    <w:pict>
      <v:shape id="_x0000_i1597" type="#_x0000_t75" style="width:3in;height:3in" o:bullet="t"/>
    </w:pict>
  </w:numPicBullet>
  <w:numPicBullet w:numPicBulletId="2">
    <w:pict>
      <v:shape id="_x0000_i1598" type="#_x0000_t75" style="width:3in;height:3in" o:bullet="t"/>
    </w:pict>
  </w:numPicBullet>
  <w:numPicBullet w:numPicBulletId="3">
    <w:pict>
      <v:shape id="_x0000_i1599" type="#_x0000_t75" style="width:3in;height:3in" o:bullet="t"/>
    </w:pict>
  </w:numPicBullet>
  <w:numPicBullet w:numPicBulletId="4">
    <w:pict>
      <v:shape id="_x0000_i1600" type="#_x0000_t75" style="width:3in;height:3in" o:bullet="t"/>
    </w:pict>
  </w:numPicBullet>
  <w:numPicBullet w:numPicBulletId="5">
    <w:pict>
      <v:shape id="_x0000_i1601" type="#_x0000_t75" style="width:3in;height:3in" o:bullet="t"/>
    </w:pict>
  </w:numPicBullet>
  <w:numPicBullet w:numPicBulletId="6">
    <w:pict>
      <v:shape id="_x0000_i1602" type="#_x0000_t75" style="width:3in;height:3in" o:bullet="t"/>
    </w:pict>
  </w:numPicBullet>
  <w:numPicBullet w:numPicBulletId="7">
    <w:pict>
      <v:shape id="_x0000_i1603" type="#_x0000_t75" style="width:3in;height:3in" o:bullet="t"/>
    </w:pict>
  </w:numPicBullet>
  <w:numPicBullet w:numPicBulletId="8">
    <w:pict>
      <v:shape id="_x0000_i1604" type="#_x0000_t75" style="width:3in;height:3in" o:bullet="t"/>
    </w:pict>
  </w:numPicBullet>
  <w:numPicBullet w:numPicBulletId="9">
    <w:pict>
      <v:shape id="_x0000_i1605" type="#_x0000_t75" style="width:3in;height:3in" o:bullet="t"/>
    </w:pict>
  </w:numPicBullet>
  <w:numPicBullet w:numPicBulletId="10">
    <w:pict>
      <v:shape id="_x0000_i1606" type="#_x0000_t75" style="width:3in;height:3in" o:bullet="t"/>
    </w:pict>
  </w:numPicBullet>
  <w:numPicBullet w:numPicBulletId="11">
    <w:pict>
      <v:shape id="_x0000_i1607" type="#_x0000_t75" style="width:3in;height:3in" o:bullet="t"/>
    </w:pict>
  </w:numPicBullet>
  <w:numPicBullet w:numPicBulletId="12">
    <w:pict>
      <v:shape id="_x0000_i1608" type="#_x0000_t75" style="width:3in;height:3in" o:bullet="t"/>
    </w:pict>
  </w:numPicBullet>
  <w:numPicBullet w:numPicBulletId="13">
    <w:pict>
      <v:shape id="_x0000_i1609" type="#_x0000_t75" style="width:3in;height:3in" o:bullet="t"/>
    </w:pict>
  </w:numPicBullet>
  <w:numPicBullet w:numPicBulletId="14">
    <w:pict>
      <v:shape id="_x0000_i1610" type="#_x0000_t75" style="width:3in;height:3in" o:bullet="t"/>
    </w:pict>
  </w:numPicBullet>
  <w:numPicBullet w:numPicBulletId="15">
    <w:pict>
      <v:shape id="_x0000_i1611" type="#_x0000_t75" style="width:3in;height:3in" o:bullet="t"/>
    </w:pict>
  </w:numPicBullet>
  <w:numPicBullet w:numPicBulletId="16">
    <w:pict>
      <v:shape id="_x0000_i1612" type="#_x0000_t75" style="width:3in;height:3in" o:bullet="t"/>
    </w:pict>
  </w:numPicBullet>
  <w:numPicBullet w:numPicBulletId="17">
    <w:pict>
      <v:shape id="_x0000_i1613" type="#_x0000_t75" style="width:3in;height:3in" o:bullet="t"/>
    </w:pict>
  </w:numPicBullet>
  <w:numPicBullet w:numPicBulletId="18">
    <w:pict>
      <v:shape id="_x0000_i1614" type="#_x0000_t75" style="width:3in;height:3in" o:bullet="t"/>
    </w:pict>
  </w:numPicBullet>
  <w:numPicBullet w:numPicBulletId="19">
    <w:pict>
      <v:shape id="_x0000_i1615" type="#_x0000_t75" style="width:3in;height:3in" o:bullet="t"/>
    </w:pict>
  </w:numPicBullet>
  <w:numPicBullet w:numPicBulletId="20">
    <w:pict>
      <v:shape id="_x0000_i1616" type="#_x0000_t75" style="width:3in;height:3in" o:bullet="t"/>
    </w:pict>
  </w:numPicBullet>
  <w:numPicBullet w:numPicBulletId="21">
    <w:pict>
      <v:shape id="_x0000_i1617" type="#_x0000_t75" style="width:3in;height:3in" o:bullet="t"/>
    </w:pict>
  </w:numPicBullet>
  <w:abstractNum w:abstractNumId="0">
    <w:nsid w:val="05DC710C"/>
    <w:multiLevelType w:val="multilevel"/>
    <w:tmpl w:val="5EF8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915CF"/>
    <w:multiLevelType w:val="multilevel"/>
    <w:tmpl w:val="988E2978"/>
    <w:lvl w:ilvl="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D05F6"/>
    <w:multiLevelType w:val="multilevel"/>
    <w:tmpl w:val="D89A0E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D5D39"/>
    <w:multiLevelType w:val="multilevel"/>
    <w:tmpl w:val="20C0D21A"/>
    <w:lvl w:ilvl="0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972A4"/>
    <w:multiLevelType w:val="multilevel"/>
    <w:tmpl w:val="BADCFF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1D29"/>
    <w:multiLevelType w:val="multilevel"/>
    <w:tmpl w:val="DCE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A10BD"/>
    <w:multiLevelType w:val="multilevel"/>
    <w:tmpl w:val="8FCC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D539F"/>
    <w:multiLevelType w:val="multilevel"/>
    <w:tmpl w:val="A3907E22"/>
    <w:lvl w:ilvl="0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B2F2E"/>
    <w:multiLevelType w:val="multilevel"/>
    <w:tmpl w:val="80EA38BC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421AB"/>
    <w:multiLevelType w:val="multilevel"/>
    <w:tmpl w:val="86BC53E6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D53AF7"/>
    <w:multiLevelType w:val="multilevel"/>
    <w:tmpl w:val="A786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020A1"/>
    <w:multiLevelType w:val="multilevel"/>
    <w:tmpl w:val="076AE8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DA"/>
    <w:rsid w:val="001403DA"/>
    <w:rsid w:val="00B02B47"/>
    <w:rsid w:val="00C178C7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E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E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ww.com/productdetailresults/1,2265,547305932,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2015-02-09T20:19:00Z</dcterms:created>
  <dcterms:modified xsi:type="dcterms:W3CDTF">2015-02-09T20:47:00Z</dcterms:modified>
</cp:coreProperties>
</file>