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Universidad Guadalajara Lamar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Francisco Prado Mercado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8vo semestre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Hospital General de Zapopan </w:t>
      </w:r>
    </w:p>
    <w:p>
      <w:pPr>
        <w:pStyle w:val="Cuerpo"/>
        <w:bidi w:val="0"/>
      </w:pPr>
    </w:p>
    <w:p>
      <w:pPr>
        <w:pStyle w:val="Encabezam."/>
        <w:bidi w:val="0"/>
      </w:pPr>
      <w:r>
        <w:rPr>
          <w:rFonts w:ascii="Helvetica" w:cs="Arial Unicode MS" w:hAnsi="Arial Unicode MS" w:eastAsia="Arial Unicode MS"/>
          <w:rtl w:val="0"/>
        </w:rPr>
        <w:t xml:space="preserve">Historia de Medicina Basada en Evidencias </w:t>
      </w:r>
    </w:p>
    <w:p>
      <w:pPr>
        <w:pStyle w:val="Cuerpo"/>
        <w:bidi w:val="0"/>
      </w:pP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s-ES_tradnl"/>
        </w:rPr>
        <w:t>La</w:t>
      </w:r>
      <w:r>
        <w:rPr>
          <w:rFonts w:ascii="Arial"/>
          <w:rtl w:val="0"/>
        </w:rPr>
        <w:t xml:space="preserve"> historia ma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s reciente debemos hacer referencia a la Escuela de Medicina de la Universidad McMaster en Hamilton, Ontario, Canada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. Esta referencia es de suma importancia pues lo novedoso de la propuesta educativa que esta Universidad ha comenzado a desarrollar a fines de la de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cada del '60, es su orientacio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comunitaria centrada en las personas, interdisciplinaria y con aprendizaje basado en problemas.</w:t>
      </w:r>
      <w:r>
        <w:rPr>
          <w:rFonts w:ascii="Arial"/>
          <w:rtl w:val="0"/>
          <w:lang w:val="es-ES_tradnl"/>
        </w:rPr>
        <w:t xml:space="preserve"> </w:t>
      </w:r>
      <w:r>
        <w:rPr>
          <w:rFonts w:ascii="Arial"/>
          <w:rtl w:val="0"/>
          <w:lang w:val="es-ES_tradnl"/>
        </w:rPr>
        <w:t>La creacio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de esta Escuela de Medicina nos acerca a uno de los pioneros en el aprendizaje y pra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ctica de la Medicina Basada Evidencia, David Sackett.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Este me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dico estadounidense procedente de un pequen</w:t>
      </w:r>
      <w:r>
        <w:rPr>
          <w:rFonts w:hAnsi="Arial Unicode MS" w:hint="default"/>
          <w:rtl w:val="0"/>
        </w:rPr>
        <w:t>̃</w:t>
      </w:r>
      <w:r>
        <w:rPr>
          <w:rFonts w:ascii="Arial"/>
          <w:rtl w:val="0"/>
          <w:lang w:val="es-ES_tradnl"/>
        </w:rPr>
        <w:t>o pueblo rural al oeste de Chicago, que recibio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>su primer entrenamiento en la Universidad de Illinois y comenzo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>su carrera como investigador cli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nico y ba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sico en nefrologi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a detecto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>la importancia de la epidemiologi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a y las estadi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sticas mientras servi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a en las fuerzas armadas durante la crisis de los misiles en Cuba. Posteriormente graduado con honores en la Escuela de Salud Pu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blica de Harvard fue convocado por John Evans en 1967 a McMaster para comenzar a desarrollar el Departamento de Epidemiologi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a y Bioestadi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stica.</w:t>
      </w:r>
      <w:r>
        <w:rPr>
          <w:rFonts w:ascii="Arial"/>
          <w:rtl w:val="0"/>
          <w:lang w:val="es-ES_tradnl"/>
        </w:rPr>
        <w:t xml:space="preserve"> </w:t>
      </w:r>
      <w:r>
        <w:rPr>
          <w:rFonts w:ascii="Arial"/>
          <w:rtl w:val="0"/>
        </w:rPr>
        <w:t xml:space="preserve">Archie Cochrane, </w:t>
      </w:r>
      <w:r>
        <w:rPr>
          <w:rFonts w:ascii="Arial"/>
          <w:rtl w:val="0"/>
          <w:lang w:val="es-ES_tradnl"/>
        </w:rPr>
        <w:t>Quien</w:t>
      </w:r>
      <w:r>
        <w:rPr>
          <w:rFonts w:ascii="Arial"/>
          <w:rtl w:val="0"/>
          <w:lang w:val="es-ES_tradnl"/>
        </w:rPr>
        <w:t xml:space="preserve"> desde la de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 xml:space="preserve">cada del </w:t>
      </w:r>
      <w:r>
        <w:rPr>
          <w:rFonts w:hAnsi="Arial Unicode MS" w:hint="default"/>
          <w:rtl w:val="0"/>
          <w:lang w:val="fr-FR"/>
        </w:rPr>
        <w:t>’</w:t>
      </w:r>
      <w:r>
        <w:rPr>
          <w:rFonts w:ascii="Arial"/>
          <w:rtl w:val="0"/>
          <w:lang w:val="es-ES_tradnl"/>
        </w:rPr>
        <w:t>70 al reconocer que los recursos de salud son siempre limitados sugirio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>que la efectividad</w:t>
      </w:r>
      <w:r>
        <w:rPr>
          <w:rFonts w:ascii="Arial"/>
          <w:rtl w:val="0"/>
          <w:lang w:val="es-ES_tradnl"/>
        </w:rPr>
        <w:t xml:space="preserve"> </w:t>
      </w:r>
      <w:r>
        <w:rPr>
          <w:rFonts w:ascii="Arial"/>
          <w:rtl w:val="0"/>
          <w:lang w:val="es-ES_tradnl"/>
        </w:rPr>
        <w:t>de las pra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cticas relacionadas a la salud debe ser juzgada sobre la base de las pruebas procedentes de trabajos controlados. Sus ideas guiaron a un grupo de investigadores de Oxford, Iain Chalmers entre otros, para trabajar desde fines de la de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cada del</w:t>
      </w:r>
      <w:r>
        <w:rPr>
          <w:rFonts w:hAnsi="Arial Unicode MS" w:hint="default"/>
          <w:rtl w:val="0"/>
          <w:lang w:val="fr-FR"/>
        </w:rPr>
        <w:t>’</w:t>
      </w:r>
      <w:r>
        <w:rPr>
          <w:rFonts w:ascii="Arial"/>
          <w:rtl w:val="0"/>
          <w:lang w:val="es-ES_tradnl"/>
        </w:rPr>
        <w:t>70 en la construccio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de una base de datos con revisiones sistema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ticas de trabajos controlados y randomizados. Asi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>en 1989 se publico</w:t>
      </w:r>
      <w:r>
        <w:rPr>
          <w:rFonts w:hAnsi="Arial Unicode MS" w:hint="default"/>
          <w:rtl w:val="0"/>
        </w:rPr>
        <w:t xml:space="preserve">́ </w:t>
      </w:r>
      <w:r>
        <w:rPr>
          <w:rFonts w:ascii="Arial"/>
          <w:rtl w:val="0"/>
          <w:lang w:val="es-ES_tradnl"/>
        </w:rPr>
        <w:t xml:space="preserve">el libro </w:t>
      </w:r>
      <w:r>
        <w:rPr>
          <w:rFonts w:hAnsi="Arial Unicode MS" w:hint="default"/>
          <w:rtl w:val="0"/>
        </w:rPr>
        <w:t>“</w:t>
      </w:r>
      <w:r>
        <w:rPr>
          <w:rFonts w:ascii="Arial"/>
          <w:rtl w:val="0"/>
          <w:lang w:val="en-US"/>
        </w:rPr>
        <w:t>Effective Care in Pregnacy and Childbirth</w:t>
      </w:r>
      <w:r>
        <w:rPr>
          <w:rFonts w:hAnsi="Arial Unicode MS" w:hint="default"/>
          <w:rtl w:val="0"/>
        </w:rPr>
        <w:t>”</w:t>
      </w:r>
      <w:r>
        <w:rPr>
          <w:rFonts w:ascii="Arial"/>
          <w:rtl w:val="0"/>
          <w:lang w:val="es-ES_tradnl"/>
        </w:rPr>
        <w:t>. Este esfuerzo se terminari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a convirtiendo en la Colaboracio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Cochrane4 fundada en 1992. La Colaboracio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Cochrane inicialmente con base en Oxford es una organizacio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internacional que busca ayudar a quienes necesitan tomar decisiones bien informadas en atencio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de salud. Esta organizacio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prepara, actualiza, promueve y facilita el acceso a las revisiones sistema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ticas sobre intervenciones en salud. Sus acciones se basan en ciertos principios claves que incluyen la colaboracio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n, basar su desarrollo en el entusiasmo individual, evitar la duplicacio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de esfuerzos, minimizar el sesgo, promover la actualizacio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es-ES_tradnl"/>
        </w:rPr>
        <w:t>n permanente, hacer un marc ado esfuerzo en producir material relevante, promover un amplio acceso y asegurar la calidad permaneciendo abiertos y sensibles a las cri</w:t>
      </w:r>
      <w:r>
        <w:rPr>
          <w:rFonts w:hAnsi="Arial Unicode MS" w:hint="default"/>
          <w:rtl w:val="0"/>
        </w:rPr>
        <w:t>́</w:t>
      </w:r>
      <w:r>
        <w:rPr>
          <w:rFonts w:ascii="Arial"/>
          <w:rtl w:val="0"/>
          <w:lang w:val="pt-PT"/>
        </w:rPr>
        <w:t>ticas.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Subtítulo"/>
        <w:bidi w:val="0"/>
      </w:pPr>
      <w:r>
        <w:rPr>
          <w:rFonts w:ascii="Helvetica" w:cs="Arial Unicode MS" w:hAnsi="Arial Unicode MS" w:eastAsia="Arial Unicode MS"/>
          <w:rtl w:val="0"/>
        </w:rPr>
        <w:t xml:space="preserve">Tipos de estudios </w:t>
      </w:r>
    </w:p>
    <w:p>
      <w:pPr>
        <w:pStyle w:val="Cuerpo"/>
        <w:bidi w:val="0"/>
      </w:pPr>
    </w:p>
    <w:tbl>
      <w:tblPr>
        <w:tblW w:w="78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89"/>
        <w:gridCol w:w="2835"/>
        <w:gridCol w:w="1843"/>
      </w:tblGrid>
      <w:tr>
        <w:tblPrEx>
          <w:shd w:val="clear" w:color="auto" w:fill="auto"/>
        </w:tblPrEx>
        <w:trPr>
          <w:trHeight w:val="370" w:hRule="atLeast"/>
        </w:trPr>
        <w:tc>
          <w:tcPr>
            <w:tcW w:type="dxa" w:w="31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Tipos de estudio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Sin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nimos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Unidad de estudio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31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Estudios observacionales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Estudios  descriptivos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Estudios Anal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ticos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Ecol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gicos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 correlaci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Poblaciones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Transversales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 prevalencia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individuos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Casos y controles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Casos y testigos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Individuos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Cohorte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Seguimiento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Individuos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Estudios experimentales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Estudios de intervenci</w:t>
            </w:r>
            <w:r>
              <w:rPr>
                <w:rFonts w:hAnsi="Arial Unicode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Ensayos aleatorizados controlados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Ensayos cl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nicos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Pacientes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Ensayos de campo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Personas sanas</w:t>
            </w:r>
          </w:p>
        </w:tc>
      </w:tr>
      <w:tr>
        <w:tblPrEx>
          <w:shd w:val="clear" w:color="auto" w:fill="auto"/>
        </w:tblPrEx>
        <w:trPr>
          <w:trHeight w:val="432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Ensayos comunitarios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Ensayos de intervenci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en comunidades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Comunidades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31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7867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9637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8"/>
        <w:gridCol w:w="4819"/>
      </w:tblGrid>
      <w:tr>
        <w:tblPrEx>
          <w:shd w:val="clear" w:color="auto" w:fill="fefffe"/>
        </w:tblPrEx>
        <w:trPr>
          <w:trHeight w:val="390" w:hRule="atLeast"/>
          <w:tblHeader/>
        </w:trPr>
        <w:tc>
          <w:tcPr>
            <w:tcW w:type="dxa" w:w="481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Helvetica"/>
                <w:sz w:val="32"/>
                <w:szCs w:val="32"/>
              </w:rPr>
              <w:t xml:space="preserve">Sesgo </w:t>
            </w:r>
          </w:p>
        </w:tc>
        <w:tc>
          <w:tcPr>
            <w:tcW w:type="dxa" w:w="481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481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bidi w:val="0"/>
            </w:pPr>
            <w:r>
              <w:rPr>
                <w:rFonts w:ascii="Helvetica" w:cs="Arial Unicode MS" w:hAnsi="Arial Unicode MS" w:eastAsia="Arial Unicode MS"/>
              </w:rPr>
              <w:t>Sesgo de selecci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 xml:space="preserve">n </w:t>
            </w:r>
          </w:p>
        </w:tc>
        <w:tc>
          <w:tcPr>
            <w:tcW w:type="dxa" w:w="481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a al pie"/>
              <w:bidi w:val="0"/>
            </w:pPr>
            <w:r>
              <w:rPr>
                <w:rFonts w:ascii="Helvetica" w:cs="Arial Unicode MS" w:hAnsi="Arial Unicode MS" w:eastAsia="Arial Unicode MS"/>
              </w:rPr>
              <w:t>Referencia a cualquier error que se deriva del proceso de identificaci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de la poblaci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a estudiar. La distorsi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resulta de la forma en que los sujetos han sido seleccionados.</w:t>
            </w: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bidi w:val="0"/>
            </w:pPr>
            <w:r>
              <w:rPr>
                <w:rFonts w:ascii="Helvetica" w:cs="Arial Unicode MS" w:hAnsi="Arial Unicode MS" w:eastAsia="Arial Unicode MS"/>
              </w:rPr>
              <w:t>Sesgo de informaci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u observaci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 xml:space="preserve">n </w:t>
            </w:r>
          </w:p>
        </w:tc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</w:pPr>
            <w:r>
              <w:rPr>
                <w:rFonts w:ascii="Helvetica" w:cs="Arial Unicode MS" w:hAnsi="Arial Unicode MS" w:eastAsia="Arial Unicode MS"/>
              </w:rPr>
              <w:t>Incluye cualquier error sistem</w:t>
            </w:r>
            <w:r>
              <w:rPr>
                <w:rFonts w:ascii="Arial Unicode MS" w:cs="Arial Unicode MS" w:hAnsi="Arial Unicode MS" w:eastAsia="Arial Unicode MS" w:hint="default"/>
              </w:rPr>
              <w:t>á</w:t>
            </w:r>
            <w:r>
              <w:rPr>
                <w:rFonts w:ascii="Helvetica" w:cs="Arial Unicode MS" w:hAnsi="Arial Unicode MS" w:eastAsia="Arial Unicode MS"/>
              </w:rPr>
              <w:t>tico en la medida de informaci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sobre la exposici</w:t>
            </w:r>
            <w:r>
              <w:rPr>
                <w:rFonts w:ascii="Arial Unicode MS" w:cs="Arial Unicode MS" w:hAnsi="Arial Unicode MS" w:eastAsia="Arial Unicode MS" w:hint="default"/>
              </w:rPr>
              <w:t>ó</w:t>
            </w:r>
            <w:r>
              <w:rPr>
                <w:rFonts w:ascii="Helvetica" w:cs="Arial Unicode MS" w:hAnsi="Arial Unicode MS" w:eastAsia="Arial Unicode MS"/>
              </w:rPr>
              <w:t>n a estudiar o los resultados.</w:t>
            </w:r>
          </w:p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Encabezam."/>
        <w:bidi w:val="0"/>
      </w:pPr>
      <w:r>
        <w:rPr>
          <w:rFonts w:ascii="Helvetica" w:cs="Arial Unicode MS" w:hAnsi="Arial Unicode MS" w:eastAsia="Arial Unicode MS"/>
          <w:rtl w:val="0"/>
        </w:rPr>
        <w:t xml:space="preserve">Bibliografia: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Mauricio Herna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it-IT"/>
        </w:rPr>
        <w:t>ndez-Avila, Ph.D. Francisco Garrido, M.C., M. en C.Eduardo Salaza</w:t>
      </w:r>
      <w:r>
        <w:rPr>
          <w:rFonts w:ascii="Arial"/>
          <w:sz w:val="24"/>
          <w:szCs w:val="24"/>
          <w:rtl w:val="0"/>
          <w:lang w:val="es-ES_tradnl"/>
        </w:rPr>
        <w:t xml:space="preserve">r </w:t>
      </w:r>
      <w:r>
        <w:rPr>
          <w:rFonts w:ascii="Arial"/>
          <w:sz w:val="24"/>
          <w:szCs w:val="24"/>
          <w:rtl w:val="0"/>
        </w:rPr>
        <w:t>Marti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 xml:space="preserve">nez, </w:t>
      </w:r>
      <w:r>
        <w:rPr>
          <w:rFonts w:ascii="Arial"/>
          <w:sz w:val="24"/>
          <w:szCs w:val="24"/>
          <w:rtl w:val="0"/>
          <w:lang w:val="es-ES_tradnl"/>
        </w:rPr>
        <w:t xml:space="preserve">Sesgos en estudios epidemiologicos. </w:t>
      </w:r>
      <w:r>
        <w:rPr>
          <w:rFonts w:ascii="Arial"/>
          <w:sz w:val="24"/>
          <w:szCs w:val="24"/>
          <w:rtl w:val="0"/>
        </w:rPr>
        <w:t>Dr. en C.salud pu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blica de me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xico / vol.42, no.5, septiembre-octubre de 20</w:t>
      </w:r>
      <w:r>
        <w:rPr>
          <w:rFonts w:ascii="Arial"/>
          <w:sz w:val="24"/>
          <w:szCs w:val="24"/>
          <w:rtl w:val="0"/>
          <w:lang w:val="es-ES_tradnl"/>
        </w:rPr>
        <w:t xml:space="preserve">12. 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Lara K S, S</w:t>
      </w:r>
      <w:r>
        <w:rPr>
          <w:rFonts w:hAnsi="Arial Unicode MS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nchez R S, Renner D G,  Kuba D M. Importancia de la medicina basada en evidencias en la pr</w:t>
      </w:r>
      <w:r>
        <w:rPr>
          <w:rFonts w:hAnsi="Arial Unicode MS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ctica cl</w:t>
      </w:r>
      <w:r>
        <w:rPr>
          <w:rFonts w:hAnsi="Arial Unicode MS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it-IT"/>
        </w:rPr>
        <w:t>nica cotidiana. M</w:t>
      </w:r>
      <w:r>
        <w:rPr>
          <w:rFonts w:hAnsi="Arial Unicode MS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dica Sur M</w:t>
      </w:r>
      <w:r>
        <w:rPr>
          <w:rFonts w:hAnsi="Arial Unicode MS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xico, Enero-Marzo 2007; 14(1): 9-13</w:t>
      </w:r>
      <w:r>
        <w:rPr>
          <w:rFonts w:ascii="Arial"/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</w:pPr>
      <w:r>
        <w:rPr>
          <w:rFonts w:ascii="Arial"/>
          <w:sz w:val="24"/>
          <w:szCs w:val="24"/>
          <w:rtl w:val="0"/>
          <w:lang w:val="es-ES_tradnl"/>
        </w:rPr>
        <w:t>Unidad de Epidemiologi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>a Cli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nica y Bioestadi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stica. Complexo Hospitalario Juan Canalejo. A Corun</w:t>
      </w:r>
      <w:r>
        <w:rPr>
          <w:rFonts w:hAnsi="Arial Unicode MS" w:hint="default"/>
          <w:sz w:val="24"/>
          <w:szCs w:val="24"/>
          <w:rtl w:val="0"/>
        </w:rPr>
        <w:t>̃</w:t>
      </w:r>
      <w:r>
        <w:rPr>
          <w:rFonts w:ascii="Arial"/>
          <w:sz w:val="24"/>
          <w:szCs w:val="24"/>
          <w:rtl w:val="0"/>
        </w:rPr>
        <w:t>a. Pita Ferna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>ndez, S. Epidemiologi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a. Conceptos ba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sicos. En: Tratado de Epidemiologi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>a Cli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nica. Madrid; DuPont Pharma, S.A.; Unidad de epidemiologi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>a Cli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nica, Departamento de Medicina y Psiquiatri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  <w:lang w:val="es-ES_tradnl"/>
        </w:rPr>
        <w:t>a. Universidad de Alicante: 1995. p. 25-47. Actualizacio</w:t>
      </w:r>
      <w:r>
        <w:rPr>
          <w:rFonts w:hAnsi="Arial Unicode MS" w:hint="default"/>
          <w:sz w:val="24"/>
          <w:szCs w:val="24"/>
          <w:rtl w:val="0"/>
        </w:rPr>
        <w:t>́</w:t>
      </w:r>
      <w:r>
        <w:rPr>
          <w:rFonts w:ascii="Arial"/>
          <w:sz w:val="24"/>
          <w:szCs w:val="24"/>
          <w:rtl w:val="0"/>
        </w:rPr>
        <w:t>n 28/02/20</w:t>
      </w:r>
      <w:r>
        <w:rPr>
          <w:rFonts w:ascii="Arial"/>
          <w:sz w:val="24"/>
          <w:szCs w:val="24"/>
          <w:rtl w:val="0"/>
          <w:lang w:val="es-ES_tradnl"/>
        </w:rPr>
        <w:t xml:space="preserve">08.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Encabezam.">
    <w:name w:val="Encabezam.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s-ES_tradnl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