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B9" w:rsidRDefault="005A7152" w:rsidP="005A7152">
      <w:pPr>
        <w:jc w:val="both"/>
        <w:rPr>
          <w:rFonts w:cs="Arial"/>
          <w:b/>
          <w:sz w:val="36"/>
        </w:rPr>
      </w:pPr>
      <w:r w:rsidRPr="005A7152">
        <w:rPr>
          <w:rFonts w:cs="Arial"/>
          <w:b/>
          <w:sz w:val="36"/>
        </w:rPr>
        <w:t xml:space="preserve">HISTORIA DE LA MEDICINA BASADA EN EVIDENCIAS </w:t>
      </w:r>
    </w:p>
    <w:p w:rsidR="005A7152" w:rsidRDefault="005A7152" w:rsidP="005A7152">
      <w:pPr>
        <w:jc w:val="both"/>
        <w:rPr>
          <w:rFonts w:cs="Arial"/>
          <w:sz w:val="24"/>
        </w:rPr>
      </w:pPr>
      <w:r>
        <w:rPr>
          <w:rFonts w:cs="Arial"/>
          <w:sz w:val="24"/>
        </w:rPr>
        <w:t xml:space="preserve">La medicina basada en evidencias es un </w:t>
      </w:r>
      <w:r w:rsidR="00DB625D">
        <w:rPr>
          <w:rFonts w:cs="Arial"/>
          <w:sz w:val="24"/>
        </w:rPr>
        <w:t>término</w:t>
      </w:r>
      <w:r>
        <w:rPr>
          <w:rFonts w:cs="Arial"/>
          <w:sz w:val="24"/>
        </w:rPr>
        <w:t xml:space="preserve"> acuñado por Gordon </w:t>
      </w:r>
      <w:proofErr w:type="spellStart"/>
      <w:r>
        <w:rPr>
          <w:rFonts w:cs="Arial"/>
          <w:sz w:val="24"/>
        </w:rPr>
        <w:t>Guyatt</w:t>
      </w:r>
      <w:proofErr w:type="spellEnd"/>
      <w:r>
        <w:rPr>
          <w:rFonts w:cs="Arial"/>
          <w:sz w:val="24"/>
        </w:rPr>
        <w:t xml:space="preserve">, se define como un proceso cuyo objetivo es obtener y aplicar la mejor evidencia científica en el ejercicio de la </w:t>
      </w:r>
      <w:proofErr w:type="gramStart"/>
      <w:r>
        <w:rPr>
          <w:rFonts w:cs="Arial"/>
          <w:sz w:val="24"/>
        </w:rPr>
        <w:t>practica</w:t>
      </w:r>
      <w:proofErr w:type="gramEnd"/>
      <w:r>
        <w:rPr>
          <w:rFonts w:cs="Arial"/>
          <w:sz w:val="24"/>
        </w:rPr>
        <w:t xml:space="preserve"> medica cotidiana.</w:t>
      </w:r>
    </w:p>
    <w:p w:rsidR="005A7152" w:rsidRDefault="005860C0" w:rsidP="005A7152">
      <w:pPr>
        <w:jc w:val="both"/>
        <w:rPr>
          <w:rFonts w:cs="Arial"/>
          <w:sz w:val="24"/>
        </w:rPr>
      </w:pPr>
      <w:r>
        <w:rPr>
          <w:rFonts w:cs="Arial"/>
          <w:sz w:val="24"/>
        </w:rPr>
        <w:t xml:space="preserve">La MBE se inicia en 1992, en la </w:t>
      </w:r>
      <w:proofErr w:type="spellStart"/>
      <w:r>
        <w:rPr>
          <w:rFonts w:cs="Arial"/>
          <w:sz w:val="24"/>
        </w:rPr>
        <w:t>McMaster</w:t>
      </w:r>
      <w:proofErr w:type="spellEnd"/>
      <w:r>
        <w:rPr>
          <w:rFonts w:cs="Arial"/>
          <w:sz w:val="24"/>
        </w:rPr>
        <w:t xml:space="preserve"> </w:t>
      </w:r>
      <w:proofErr w:type="spellStart"/>
      <w:r>
        <w:rPr>
          <w:rFonts w:cs="Arial"/>
          <w:sz w:val="24"/>
        </w:rPr>
        <w:t>University</w:t>
      </w:r>
      <w:proofErr w:type="spellEnd"/>
      <w:r>
        <w:rPr>
          <w:rFonts w:cs="Arial"/>
          <w:sz w:val="24"/>
        </w:rPr>
        <w:t xml:space="preserve"> de Ontario, </w:t>
      </w:r>
      <w:r w:rsidR="00DB625D">
        <w:rPr>
          <w:rFonts w:cs="Arial"/>
          <w:sz w:val="24"/>
        </w:rPr>
        <w:t>Canadá</w:t>
      </w:r>
      <w:r>
        <w:rPr>
          <w:rFonts w:cs="Arial"/>
          <w:sz w:val="24"/>
        </w:rPr>
        <w:t xml:space="preserve">, aunque a mediados del siglo XIX, </w:t>
      </w:r>
      <w:proofErr w:type="spellStart"/>
      <w:r>
        <w:rPr>
          <w:rFonts w:cs="Arial"/>
          <w:sz w:val="24"/>
        </w:rPr>
        <w:t>Bichat</w:t>
      </w:r>
      <w:proofErr w:type="spellEnd"/>
      <w:r>
        <w:rPr>
          <w:rFonts w:cs="Arial"/>
          <w:sz w:val="24"/>
        </w:rPr>
        <w:t xml:space="preserve"> y </w:t>
      </w:r>
      <w:proofErr w:type="spellStart"/>
      <w:r>
        <w:rPr>
          <w:rFonts w:cs="Arial"/>
          <w:sz w:val="24"/>
        </w:rPr>
        <w:t>Magendi</w:t>
      </w:r>
      <w:proofErr w:type="spellEnd"/>
      <w:r>
        <w:rPr>
          <w:rFonts w:cs="Arial"/>
          <w:sz w:val="24"/>
        </w:rPr>
        <w:t xml:space="preserve"> expresaron los primeros fundamentos filosóficos de la MBE. En el mismo siglo en Paris, Pierre Louis demostró que las sangrías por flebotomía no tenían algún efecto favorable contra el cólera. Sin embargo, ninguno de los médicos de su tiempo le dio importancia a sus aportaciones a la ciencia.</w:t>
      </w:r>
    </w:p>
    <w:p w:rsidR="00EE463A" w:rsidRDefault="00EE463A" w:rsidP="005A7152">
      <w:pPr>
        <w:jc w:val="both"/>
        <w:rPr>
          <w:rFonts w:cs="Arial"/>
          <w:sz w:val="24"/>
        </w:rPr>
      </w:pPr>
      <w:r>
        <w:rPr>
          <w:rFonts w:cs="Arial"/>
          <w:sz w:val="24"/>
        </w:rPr>
        <w:t xml:space="preserve">Para la medicina aristotélica, el conocimiento en la práctica </w:t>
      </w:r>
      <w:r w:rsidR="00DB625D">
        <w:rPr>
          <w:rFonts w:cs="Arial"/>
          <w:sz w:val="24"/>
        </w:rPr>
        <w:t>médica</w:t>
      </w:r>
      <w:r>
        <w:rPr>
          <w:rFonts w:cs="Arial"/>
          <w:sz w:val="24"/>
        </w:rPr>
        <w:t xml:space="preserve"> no puede ser nunca cierto sin solo probable, entendiendo como probabilidad aquella opinión que defienden las gentes mas sabias y expertas. La toma de </w:t>
      </w:r>
      <w:r w:rsidR="00DB625D">
        <w:rPr>
          <w:rFonts w:cs="Arial"/>
          <w:sz w:val="24"/>
        </w:rPr>
        <w:t>decisiones</w:t>
      </w:r>
      <w:r>
        <w:rPr>
          <w:rFonts w:cs="Arial"/>
          <w:sz w:val="24"/>
        </w:rPr>
        <w:t xml:space="preserve"> en esta línea de pensamiento </w:t>
      </w:r>
      <w:r w:rsidR="00DB625D">
        <w:rPr>
          <w:rFonts w:cs="Arial"/>
          <w:sz w:val="24"/>
        </w:rPr>
        <w:t>está</w:t>
      </w:r>
      <w:r>
        <w:rPr>
          <w:rFonts w:cs="Arial"/>
          <w:sz w:val="24"/>
        </w:rPr>
        <w:t xml:space="preserve"> condicionada por la autoridad de quienes defienden una postura y, por tanto, no con la evidencia sino con la intención.  </w:t>
      </w:r>
    </w:p>
    <w:p w:rsidR="005860C0" w:rsidRDefault="005860C0" w:rsidP="005A7152">
      <w:pPr>
        <w:jc w:val="both"/>
        <w:rPr>
          <w:rFonts w:cs="Arial"/>
          <w:b/>
          <w:sz w:val="36"/>
        </w:rPr>
      </w:pPr>
      <w:r>
        <w:rPr>
          <w:rFonts w:cs="Arial"/>
          <w:b/>
          <w:sz w:val="36"/>
        </w:rPr>
        <w:t>OBJETIVOS DE LA MBE</w:t>
      </w:r>
    </w:p>
    <w:p w:rsidR="005860C0" w:rsidRDefault="005860C0" w:rsidP="005860C0">
      <w:pPr>
        <w:pStyle w:val="Prrafodelista"/>
        <w:numPr>
          <w:ilvl w:val="0"/>
          <w:numId w:val="2"/>
        </w:numPr>
        <w:jc w:val="both"/>
        <w:rPr>
          <w:rFonts w:cs="Arial"/>
          <w:sz w:val="24"/>
        </w:rPr>
      </w:pPr>
      <w:r>
        <w:rPr>
          <w:rFonts w:cs="Arial"/>
          <w:sz w:val="24"/>
        </w:rPr>
        <w:t>Alimentar un diagnostico</w:t>
      </w:r>
    </w:p>
    <w:p w:rsidR="005860C0" w:rsidRDefault="005860C0" w:rsidP="005860C0">
      <w:pPr>
        <w:pStyle w:val="Prrafodelista"/>
        <w:numPr>
          <w:ilvl w:val="0"/>
          <w:numId w:val="2"/>
        </w:numPr>
        <w:jc w:val="both"/>
        <w:rPr>
          <w:rFonts w:cs="Arial"/>
          <w:sz w:val="24"/>
        </w:rPr>
      </w:pPr>
      <w:r>
        <w:rPr>
          <w:rFonts w:cs="Arial"/>
          <w:sz w:val="24"/>
        </w:rPr>
        <w:t>Ayudar a establecer la mejor terapéutica actual</w:t>
      </w:r>
    </w:p>
    <w:p w:rsidR="005860C0" w:rsidRDefault="005860C0" w:rsidP="005860C0">
      <w:pPr>
        <w:pStyle w:val="Prrafodelista"/>
        <w:numPr>
          <w:ilvl w:val="0"/>
          <w:numId w:val="2"/>
        </w:numPr>
        <w:jc w:val="both"/>
        <w:rPr>
          <w:rFonts w:cs="Arial"/>
          <w:sz w:val="24"/>
        </w:rPr>
      </w:pPr>
      <w:r>
        <w:rPr>
          <w:rFonts w:cs="Arial"/>
          <w:sz w:val="24"/>
        </w:rPr>
        <w:t xml:space="preserve">Establecer un </w:t>
      </w:r>
      <w:r w:rsidR="00DB625D">
        <w:rPr>
          <w:rFonts w:cs="Arial"/>
          <w:sz w:val="24"/>
        </w:rPr>
        <w:t>pronóstico</w:t>
      </w:r>
      <w:r>
        <w:rPr>
          <w:rFonts w:cs="Arial"/>
          <w:sz w:val="24"/>
        </w:rPr>
        <w:t xml:space="preserve"> para la vida y la </w:t>
      </w:r>
      <w:r w:rsidR="000F5017">
        <w:rPr>
          <w:rFonts w:cs="Arial"/>
          <w:sz w:val="24"/>
        </w:rPr>
        <w:t xml:space="preserve">función </w:t>
      </w:r>
    </w:p>
    <w:p w:rsidR="00FF2AA7" w:rsidRDefault="00FF2AA7" w:rsidP="005860C0">
      <w:pPr>
        <w:pStyle w:val="Prrafodelista"/>
        <w:numPr>
          <w:ilvl w:val="0"/>
          <w:numId w:val="2"/>
        </w:numPr>
        <w:jc w:val="both"/>
        <w:rPr>
          <w:rFonts w:cs="Arial"/>
          <w:sz w:val="24"/>
        </w:rPr>
      </w:pPr>
      <w:r>
        <w:rPr>
          <w:rFonts w:cs="Arial"/>
          <w:sz w:val="24"/>
        </w:rPr>
        <w:t xml:space="preserve">Acceder a las bases electrónicas de datos científicos relacionados con </w:t>
      </w:r>
      <w:r w:rsidR="00DB625D">
        <w:rPr>
          <w:rFonts w:cs="Arial"/>
          <w:sz w:val="24"/>
        </w:rPr>
        <w:t>las ciencias</w:t>
      </w:r>
      <w:r>
        <w:rPr>
          <w:rFonts w:cs="Arial"/>
          <w:sz w:val="24"/>
        </w:rPr>
        <w:t xml:space="preserve"> de la salud.</w:t>
      </w:r>
    </w:p>
    <w:p w:rsidR="00FF2AA7" w:rsidRDefault="00FF2AA7" w:rsidP="005860C0">
      <w:pPr>
        <w:pStyle w:val="Prrafodelista"/>
        <w:numPr>
          <w:ilvl w:val="0"/>
          <w:numId w:val="2"/>
        </w:numPr>
        <w:jc w:val="both"/>
        <w:rPr>
          <w:rFonts w:cs="Arial"/>
          <w:sz w:val="24"/>
        </w:rPr>
      </w:pPr>
      <w:r>
        <w:rPr>
          <w:rFonts w:cs="Arial"/>
          <w:sz w:val="24"/>
        </w:rPr>
        <w:t xml:space="preserve">Instruir al cuerpo </w:t>
      </w:r>
      <w:r w:rsidR="00DB625D">
        <w:rPr>
          <w:rFonts w:cs="Arial"/>
          <w:sz w:val="24"/>
        </w:rPr>
        <w:t>médico</w:t>
      </w:r>
      <w:r>
        <w:rPr>
          <w:rFonts w:cs="Arial"/>
          <w:sz w:val="24"/>
        </w:rPr>
        <w:t xml:space="preserve"> y grupos afines en la revisión </w:t>
      </w:r>
      <w:r w:rsidR="00DB625D">
        <w:rPr>
          <w:rFonts w:cs="Arial"/>
          <w:sz w:val="24"/>
        </w:rPr>
        <w:t>crítica</w:t>
      </w:r>
      <w:r>
        <w:rPr>
          <w:rFonts w:cs="Arial"/>
          <w:sz w:val="24"/>
        </w:rPr>
        <w:t xml:space="preserve"> de la información obtenida </w:t>
      </w:r>
    </w:p>
    <w:p w:rsidR="00FF2AA7" w:rsidRDefault="00FF2AA7" w:rsidP="005860C0">
      <w:pPr>
        <w:pStyle w:val="Prrafodelista"/>
        <w:numPr>
          <w:ilvl w:val="0"/>
          <w:numId w:val="2"/>
        </w:numPr>
        <w:jc w:val="both"/>
        <w:rPr>
          <w:rFonts w:cs="Arial"/>
          <w:sz w:val="24"/>
        </w:rPr>
      </w:pPr>
      <w:r>
        <w:rPr>
          <w:rFonts w:cs="Arial"/>
          <w:sz w:val="24"/>
        </w:rPr>
        <w:t>Capacitar a todos los individuos relacionados con las áreas de ciencias de la salud en la aplicación y seguimiento de resultados.</w:t>
      </w:r>
    </w:p>
    <w:p w:rsidR="00FF2AA7" w:rsidRDefault="00FF2AA7" w:rsidP="00FF2AA7">
      <w:pPr>
        <w:jc w:val="both"/>
        <w:rPr>
          <w:rFonts w:cs="Arial"/>
          <w:sz w:val="24"/>
        </w:rPr>
      </w:pPr>
      <w:r>
        <w:rPr>
          <w:rFonts w:cs="Arial"/>
          <w:noProof/>
          <w:sz w:val="24"/>
          <w:lang w:eastAsia="es-MX"/>
        </w:rPr>
        <w:lastRenderedPageBreak/>
        <w:drawing>
          <wp:inline distT="0" distB="0" distL="0" distR="0">
            <wp:extent cx="3848100" cy="2905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905125"/>
                    </a:xfrm>
                    <a:prstGeom prst="rect">
                      <a:avLst/>
                    </a:prstGeom>
                    <a:noFill/>
                    <a:ln>
                      <a:noFill/>
                    </a:ln>
                  </pic:spPr>
                </pic:pic>
              </a:graphicData>
            </a:graphic>
          </wp:inline>
        </w:drawing>
      </w:r>
    </w:p>
    <w:p w:rsidR="00EE463A" w:rsidRPr="00FF2AA7" w:rsidRDefault="00EE463A" w:rsidP="00FF2AA7">
      <w:pPr>
        <w:jc w:val="both"/>
        <w:rPr>
          <w:rFonts w:cs="Arial"/>
          <w:sz w:val="24"/>
        </w:rPr>
      </w:pPr>
      <w:r>
        <w:rPr>
          <w:rFonts w:cs="Arial"/>
          <w:noProof/>
          <w:sz w:val="24"/>
          <w:lang w:eastAsia="es-MX"/>
        </w:rPr>
        <w:drawing>
          <wp:inline distT="0" distB="0" distL="0" distR="0">
            <wp:extent cx="3819525" cy="2876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876550"/>
                    </a:xfrm>
                    <a:prstGeom prst="rect">
                      <a:avLst/>
                    </a:prstGeom>
                    <a:noFill/>
                    <a:ln>
                      <a:noFill/>
                    </a:ln>
                  </pic:spPr>
                </pic:pic>
              </a:graphicData>
            </a:graphic>
          </wp:inline>
        </w:drawing>
      </w:r>
    </w:p>
    <w:p w:rsidR="005A7152" w:rsidRDefault="00EE463A" w:rsidP="005A7152">
      <w:pPr>
        <w:jc w:val="both"/>
        <w:rPr>
          <w:rFonts w:ascii="Arial" w:hAnsi="Arial" w:cs="Arial"/>
          <w:b/>
          <w:sz w:val="36"/>
        </w:rPr>
      </w:pPr>
      <w:r>
        <w:rPr>
          <w:rFonts w:ascii="Arial" w:hAnsi="Arial" w:cs="Arial"/>
          <w:b/>
          <w:sz w:val="36"/>
        </w:rPr>
        <w:t>Sesgos</w:t>
      </w:r>
    </w:p>
    <w:tbl>
      <w:tblPr>
        <w:tblStyle w:val="Tablaconcuadrcula"/>
        <w:tblW w:w="0" w:type="auto"/>
        <w:tblLook w:val="04A0" w:firstRow="1" w:lastRow="0" w:firstColumn="1" w:lastColumn="0" w:noHBand="0" w:noVBand="1"/>
      </w:tblPr>
      <w:tblGrid>
        <w:gridCol w:w="4489"/>
        <w:gridCol w:w="4489"/>
      </w:tblGrid>
      <w:tr w:rsidR="00DB625D" w:rsidTr="00DB625D">
        <w:tc>
          <w:tcPr>
            <w:tcW w:w="4489" w:type="dxa"/>
          </w:tcPr>
          <w:p w:rsidR="00DB625D" w:rsidRDefault="00DB625D" w:rsidP="005A7152">
            <w:pPr>
              <w:jc w:val="both"/>
              <w:rPr>
                <w:rFonts w:ascii="Arial" w:hAnsi="Arial" w:cs="Arial"/>
                <w:sz w:val="24"/>
              </w:rPr>
            </w:pPr>
            <w:r>
              <w:rPr>
                <w:rFonts w:ascii="Arial" w:hAnsi="Arial" w:cs="Arial"/>
                <w:sz w:val="24"/>
              </w:rPr>
              <w:t>Sesgos de selección</w:t>
            </w:r>
          </w:p>
        </w:tc>
        <w:tc>
          <w:tcPr>
            <w:tcW w:w="4489" w:type="dxa"/>
          </w:tcPr>
          <w:p w:rsidR="00DB625D" w:rsidRDefault="00DB625D" w:rsidP="005A7152">
            <w:pPr>
              <w:jc w:val="both"/>
              <w:rPr>
                <w:rFonts w:ascii="Arial" w:hAnsi="Arial" w:cs="Arial"/>
                <w:sz w:val="24"/>
              </w:rPr>
            </w:pPr>
            <w:r>
              <w:rPr>
                <w:rFonts w:ascii="Arial" w:hAnsi="Arial" w:cs="Arial"/>
                <w:sz w:val="24"/>
              </w:rPr>
              <w:t>Son errores sistemáticos que se introducen durante la selección o el seguimiento de la población en estudio y que propician una conclusión equivocada sobre la hipótesis en evaluación.</w:t>
            </w:r>
          </w:p>
        </w:tc>
      </w:tr>
      <w:tr w:rsidR="00DB625D" w:rsidTr="00DB625D">
        <w:tc>
          <w:tcPr>
            <w:tcW w:w="4489" w:type="dxa"/>
          </w:tcPr>
          <w:p w:rsidR="00DB625D" w:rsidRDefault="00DB625D" w:rsidP="005A7152">
            <w:pPr>
              <w:jc w:val="both"/>
              <w:rPr>
                <w:rFonts w:ascii="Arial" w:hAnsi="Arial" w:cs="Arial"/>
                <w:sz w:val="24"/>
              </w:rPr>
            </w:pPr>
            <w:r>
              <w:rPr>
                <w:rFonts w:ascii="Arial" w:hAnsi="Arial" w:cs="Arial"/>
                <w:sz w:val="24"/>
              </w:rPr>
              <w:t>Sesgos de información</w:t>
            </w:r>
          </w:p>
        </w:tc>
        <w:tc>
          <w:tcPr>
            <w:tcW w:w="4489" w:type="dxa"/>
          </w:tcPr>
          <w:p w:rsidR="00DB625D" w:rsidRDefault="00DB625D" w:rsidP="005A7152">
            <w:pPr>
              <w:jc w:val="both"/>
              <w:rPr>
                <w:rFonts w:ascii="Arial" w:hAnsi="Arial" w:cs="Arial"/>
                <w:sz w:val="24"/>
              </w:rPr>
            </w:pPr>
            <w:r>
              <w:rPr>
                <w:rFonts w:ascii="Arial" w:hAnsi="Arial" w:cs="Arial"/>
                <w:sz w:val="24"/>
              </w:rPr>
              <w:t xml:space="preserve">Se refiere a los errores que se introducen durante la medición de la exposición, de los eventos u otras </w:t>
            </w:r>
            <w:r>
              <w:rPr>
                <w:rFonts w:ascii="Arial" w:hAnsi="Arial" w:cs="Arial"/>
                <w:sz w:val="24"/>
              </w:rPr>
              <w:lastRenderedPageBreak/>
              <w:t>covariables en la población en estudio, que se presentan de manera diferencial entre los grupos que se comparan y que ocasionan una conclusión errónea respecto de la hipótesis que se investiga</w:t>
            </w:r>
          </w:p>
        </w:tc>
      </w:tr>
    </w:tbl>
    <w:p w:rsidR="00EE463A" w:rsidRPr="00DB625D" w:rsidRDefault="00EE463A" w:rsidP="005A7152">
      <w:pPr>
        <w:jc w:val="both"/>
        <w:rPr>
          <w:rFonts w:ascii="Arial" w:hAnsi="Arial" w:cs="Arial"/>
          <w:sz w:val="24"/>
        </w:rPr>
      </w:pPr>
    </w:p>
    <w:p w:rsidR="00EE463A" w:rsidRDefault="00EE463A" w:rsidP="005A7152">
      <w:pPr>
        <w:jc w:val="both"/>
        <w:rPr>
          <w:rFonts w:ascii="Arial" w:hAnsi="Arial" w:cs="Arial"/>
          <w:sz w:val="24"/>
        </w:rPr>
      </w:pPr>
      <w:r>
        <w:rPr>
          <w:rFonts w:ascii="Arial" w:hAnsi="Arial" w:cs="Arial"/>
          <w:b/>
          <w:sz w:val="36"/>
        </w:rPr>
        <w:t>Bibliografía</w:t>
      </w:r>
    </w:p>
    <w:p w:rsidR="00EE463A" w:rsidRDefault="00DB625D" w:rsidP="00EE463A">
      <w:pPr>
        <w:pStyle w:val="Prrafodelista"/>
        <w:numPr>
          <w:ilvl w:val="0"/>
          <w:numId w:val="2"/>
        </w:numPr>
        <w:jc w:val="both"/>
        <w:rPr>
          <w:rFonts w:ascii="Arial" w:hAnsi="Arial" w:cs="Arial"/>
          <w:sz w:val="24"/>
        </w:rPr>
      </w:pPr>
      <w:hyperlink r:id="rId8" w:history="1">
        <w:r w:rsidRPr="00160542">
          <w:rPr>
            <w:rStyle w:val="Hipervnculo"/>
            <w:rFonts w:ascii="Arial" w:hAnsi="Arial" w:cs="Arial"/>
            <w:sz w:val="24"/>
          </w:rPr>
          <w:t>http://scielo.isciii.es/pdf/maxi/v25n5/Controversia1.pdf</w:t>
        </w:r>
      </w:hyperlink>
    </w:p>
    <w:p w:rsidR="00DB625D" w:rsidRDefault="00DB625D" w:rsidP="00DB625D">
      <w:pPr>
        <w:pStyle w:val="Prrafodelista"/>
        <w:numPr>
          <w:ilvl w:val="0"/>
          <w:numId w:val="2"/>
        </w:numPr>
        <w:jc w:val="both"/>
        <w:rPr>
          <w:rFonts w:ascii="Arial" w:hAnsi="Arial" w:cs="Arial"/>
          <w:sz w:val="24"/>
        </w:rPr>
      </w:pPr>
      <w:hyperlink r:id="rId9" w:history="1">
        <w:r w:rsidRPr="00160542">
          <w:rPr>
            <w:rStyle w:val="Hipervnculo"/>
            <w:rFonts w:ascii="Arial" w:hAnsi="Arial" w:cs="Arial"/>
            <w:sz w:val="24"/>
          </w:rPr>
          <w:t>http://www.scielosp.org/pdf/spm/v42n5/3995.pdf</w:t>
        </w:r>
      </w:hyperlink>
    </w:p>
    <w:p w:rsidR="00DB625D" w:rsidRPr="00DB625D" w:rsidRDefault="00DB625D" w:rsidP="00DB625D">
      <w:pPr>
        <w:jc w:val="both"/>
        <w:rPr>
          <w:rFonts w:ascii="Arial" w:hAnsi="Arial" w:cs="Arial"/>
          <w:sz w:val="24"/>
        </w:rPr>
      </w:pPr>
      <w:bookmarkStart w:id="0" w:name="_GoBack"/>
      <w:bookmarkEnd w:id="0"/>
    </w:p>
    <w:sectPr w:rsidR="00DB625D" w:rsidRPr="00DB62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0DF1"/>
    <w:multiLevelType w:val="hybridMultilevel"/>
    <w:tmpl w:val="F996A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5351C3"/>
    <w:multiLevelType w:val="hybridMultilevel"/>
    <w:tmpl w:val="A47A76C2"/>
    <w:lvl w:ilvl="0" w:tplc="72FEF82E">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52"/>
    <w:rsid w:val="000F5017"/>
    <w:rsid w:val="005860C0"/>
    <w:rsid w:val="005A7152"/>
    <w:rsid w:val="007D7EB9"/>
    <w:rsid w:val="00DB625D"/>
    <w:rsid w:val="00EE463A"/>
    <w:rsid w:val="00FF2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0C0"/>
    <w:pPr>
      <w:ind w:left="720"/>
      <w:contextualSpacing/>
    </w:pPr>
  </w:style>
  <w:style w:type="paragraph" w:styleId="Textodeglobo">
    <w:name w:val="Balloon Text"/>
    <w:basedOn w:val="Normal"/>
    <w:link w:val="TextodegloboCar"/>
    <w:uiPriority w:val="99"/>
    <w:semiHidden/>
    <w:unhideWhenUsed/>
    <w:rsid w:val="00FF2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AA7"/>
    <w:rPr>
      <w:rFonts w:ascii="Tahoma" w:hAnsi="Tahoma" w:cs="Tahoma"/>
      <w:sz w:val="16"/>
      <w:szCs w:val="16"/>
    </w:rPr>
  </w:style>
  <w:style w:type="table" w:styleId="Tablaconcuadrcula">
    <w:name w:val="Table Grid"/>
    <w:basedOn w:val="Tablanormal"/>
    <w:uiPriority w:val="59"/>
    <w:rsid w:val="00DB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0C0"/>
    <w:pPr>
      <w:ind w:left="720"/>
      <w:contextualSpacing/>
    </w:pPr>
  </w:style>
  <w:style w:type="paragraph" w:styleId="Textodeglobo">
    <w:name w:val="Balloon Text"/>
    <w:basedOn w:val="Normal"/>
    <w:link w:val="TextodegloboCar"/>
    <w:uiPriority w:val="99"/>
    <w:semiHidden/>
    <w:unhideWhenUsed/>
    <w:rsid w:val="00FF2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AA7"/>
    <w:rPr>
      <w:rFonts w:ascii="Tahoma" w:hAnsi="Tahoma" w:cs="Tahoma"/>
      <w:sz w:val="16"/>
      <w:szCs w:val="16"/>
    </w:rPr>
  </w:style>
  <w:style w:type="table" w:styleId="Tablaconcuadrcula">
    <w:name w:val="Table Grid"/>
    <w:basedOn w:val="Tablanormal"/>
    <w:uiPriority w:val="59"/>
    <w:rsid w:val="00DB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isciii.es/pdf/maxi/v25n5/Controversia1.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sp.org/pdf/spm/v42n5/399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valeriie</dc:creator>
  <cp:lastModifiedBy>valeriie</cp:lastModifiedBy>
  <cp:revision>2</cp:revision>
  <dcterms:created xsi:type="dcterms:W3CDTF">2015-02-06T06:04:00Z</dcterms:created>
  <dcterms:modified xsi:type="dcterms:W3CDTF">2015-02-06T07:06:00Z</dcterms:modified>
</cp:coreProperties>
</file>