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45" w:rsidRDefault="00D07C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Ilse Carolina Bustamante Sevilla</w:t>
      </w:r>
    </w:p>
    <w:p w:rsidR="00D07C64" w:rsidRDefault="00D07C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LME3489</w:t>
      </w:r>
    </w:p>
    <w:p w:rsidR="00D07C64" w:rsidRDefault="00D07C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HMIELP</w:t>
      </w:r>
    </w:p>
    <w:p w:rsidR="00D07C64" w:rsidRDefault="00D07C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Medicina Basada en Evidencias</w:t>
      </w:r>
    </w:p>
    <w:p w:rsidR="00D07C64" w:rsidRDefault="00D07C64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Act</w:t>
      </w:r>
      <w:proofErr w:type="spellEnd"/>
      <w:r>
        <w:rPr>
          <w:rFonts w:ascii="Arial" w:hAnsi="Arial" w:cs="Arial"/>
          <w:b/>
          <w:sz w:val="28"/>
          <w:szCs w:val="28"/>
        </w:rPr>
        <w:t>. Preliminar</w:t>
      </w:r>
    </w:p>
    <w:p w:rsidR="00D07C64" w:rsidRDefault="00D07C64">
      <w:pPr>
        <w:rPr>
          <w:rFonts w:ascii="Arial" w:hAnsi="Arial" w:cs="Arial"/>
          <w:b/>
          <w:sz w:val="24"/>
          <w:szCs w:val="24"/>
        </w:rPr>
      </w:pPr>
    </w:p>
    <w:p w:rsidR="00D07C64" w:rsidRDefault="00D07C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 de la medicina basada en evidencias</w:t>
      </w:r>
    </w:p>
    <w:p w:rsidR="00BD6601" w:rsidRPr="00BD6601" w:rsidRDefault="00BD6601" w:rsidP="00BD66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D6601">
        <w:rPr>
          <w:rFonts w:ascii="Arial" w:hAnsi="Arial" w:cs="Arial"/>
          <w:sz w:val="24"/>
          <w:szCs w:val="24"/>
        </w:rPr>
        <w:t xml:space="preserve">Se tiene poca información sobre los orígenes, pero se sabe que fue a mediados del siglo XIX en París con personajes como </w:t>
      </w:r>
      <w:proofErr w:type="spellStart"/>
      <w:r w:rsidRPr="00BD6601">
        <w:rPr>
          <w:rFonts w:ascii="Arial" w:hAnsi="Arial" w:cs="Arial"/>
          <w:sz w:val="24"/>
          <w:szCs w:val="24"/>
        </w:rPr>
        <w:t>Bichat</w:t>
      </w:r>
      <w:proofErr w:type="spellEnd"/>
      <w:r w:rsidRPr="00BD6601">
        <w:rPr>
          <w:rFonts w:ascii="Arial" w:hAnsi="Arial" w:cs="Arial"/>
          <w:sz w:val="24"/>
          <w:szCs w:val="24"/>
        </w:rPr>
        <w:t xml:space="preserve">, Louis y </w:t>
      </w:r>
      <w:proofErr w:type="spellStart"/>
      <w:r w:rsidRPr="00BD6601">
        <w:rPr>
          <w:rFonts w:ascii="Arial" w:hAnsi="Arial" w:cs="Arial"/>
          <w:sz w:val="24"/>
          <w:szCs w:val="24"/>
        </w:rPr>
        <w:t>Magendie</w:t>
      </w:r>
      <w:proofErr w:type="spellEnd"/>
      <w:r w:rsidRPr="00BD6601">
        <w:rPr>
          <w:rFonts w:ascii="Arial" w:hAnsi="Arial" w:cs="Arial"/>
          <w:sz w:val="24"/>
          <w:szCs w:val="24"/>
        </w:rPr>
        <w:t xml:space="preserve">. Aunque en 1753 </w:t>
      </w:r>
      <w:proofErr w:type="spellStart"/>
      <w:r w:rsidRPr="00BD6601">
        <w:rPr>
          <w:rFonts w:ascii="Arial" w:hAnsi="Arial" w:cs="Arial"/>
          <w:sz w:val="24"/>
          <w:szCs w:val="24"/>
        </w:rPr>
        <w:t>Lind</w:t>
      </w:r>
      <w:proofErr w:type="spellEnd"/>
      <w:r w:rsidRPr="00BD6601">
        <w:rPr>
          <w:rFonts w:ascii="Arial" w:hAnsi="Arial" w:cs="Arial"/>
          <w:sz w:val="24"/>
          <w:szCs w:val="24"/>
        </w:rPr>
        <w:t xml:space="preserve"> había demostrado el beneficio de comer naranjas y limones para curar escorbuto, en un estudio con 12 pacientes. En el siglo XVIII también se tiene registrado que en China, el emperador </w:t>
      </w:r>
      <w:proofErr w:type="spellStart"/>
      <w:r w:rsidRPr="00BD6601">
        <w:rPr>
          <w:rFonts w:ascii="Arial" w:hAnsi="Arial" w:cs="Arial"/>
          <w:sz w:val="24"/>
          <w:szCs w:val="24"/>
        </w:rPr>
        <w:t>Qianlong</w:t>
      </w:r>
      <w:proofErr w:type="spellEnd"/>
      <w:r w:rsidRPr="00BD6601">
        <w:rPr>
          <w:rFonts w:ascii="Arial" w:hAnsi="Arial" w:cs="Arial"/>
          <w:sz w:val="24"/>
          <w:szCs w:val="24"/>
        </w:rPr>
        <w:t xml:space="preserve">, desarrollo una metodología para interpretar los textos antiguos de Confucio llamada </w:t>
      </w:r>
      <w:proofErr w:type="spellStart"/>
      <w:r w:rsidRPr="00BD6601">
        <w:rPr>
          <w:rFonts w:ascii="Arial" w:hAnsi="Arial" w:cs="Arial"/>
          <w:sz w:val="24"/>
          <w:szCs w:val="24"/>
        </w:rPr>
        <w:t>Kaozheng</w:t>
      </w:r>
      <w:proofErr w:type="spellEnd"/>
      <w:r w:rsidRPr="00BD6601">
        <w:rPr>
          <w:rFonts w:ascii="Arial" w:hAnsi="Arial" w:cs="Arial"/>
          <w:sz w:val="24"/>
          <w:szCs w:val="24"/>
        </w:rPr>
        <w:t>, el cual en traducción significa practicando investigación con evidencia.</w:t>
      </w:r>
    </w:p>
    <w:p w:rsidR="00BD6601" w:rsidRDefault="00BD6601" w:rsidP="00BD66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D6601">
        <w:rPr>
          <w:rFonts w:ascii="Arial" w:hAnsi="Arial" w:cs="Arial"/>
          <w:sz w:val="24"/>
          <w:szCs w:val="24"/>
        </w:rPr>
        <w:t xml:space="preserve">Dentro de lo más reciente, tenemos la referencia de la Escuela de Medicina </w:t>
      </w:r>
      <w:proofErr w:type="spellStart"/>
      <w:r w:rsidRPr="00BD6601">
        <w:rPr>
          <w:rFonts w:ascii="Arial" w:hAnsi="Arial" w:cs="Arial"/>
          <w:sz w:val="24"/>
          <w:szCs w:val="24"/>
        </w:rPr>
        <w:t>McMaster</w:t>
      </w:r>
      <w:proofErr w:type="spellEnd"/>
      <w:r w:rsidRPr="00BD6601">
        <w:rPr>
          <w:rFonts w:ascii="Arial" w:hAnsi="Arial" w:cs="Arial"/>
          <w:sz w:val="24"/>
          <w:szCs w:val="24"/>
        </w:rPr>
        <w:t xml:space="preserve"> ubicada en Hamilton, Ontario, Canadá. La cual comenzó su desarrollo en la década de los 60’s, y oriento a los estudiantes a rastrear elementos de conocimiento necesarios para comprender contextos a partir de la problemática de cierto caso. Este tipo de aprendizaje, se basa en 3 estadios los cuales son: identificación del problema, búsqueda de información y resolución del problema. Dentro de esa etapa, se da a conocer uno de los pioneros en el tema, David </w:t>
      </w:r>
      <w:proofErr w:type="spellStart"/>
      <w:r w:rsidRPr="00BD6601">
        <w:rPr>
          <w:rFonts w:ascii="Arial" w:hAnsi="Arial" w:cs="Arial"/>
          <w:sz w:val="24"/>
          <w:szCs w:val="24"/>
        </w:rPr>
        <w:t>Sackett</w:t>
      </w:r>
      <w:proofErr w:type="spellEnd"/>
      <w:r w:rsidRPr="00BD6601">
        <w:rPr>
          <w:rFonts w:ascii="Arial" w:hAnsi="Arial" w:cs="Arial"/>
          <w:sz w:val="24"/>
          <w:szCs w:val="24"/>
        </w:rPr>
        <w:t xml:space="preserve">. </w:t>
      </w:r>
    </w:p>
    <w:p w:rsidR="00BD6601" w:rsidRPr="00BD6601" w:rsidRDefault="00BD6601" w:rsidP="00BD66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D6601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BD6601">
        <w:rPr>
          <w:rFonts w:ascii="Arial" w:hAnsi="Arial" w:cs="Arial"/>
          <w:sz w:val="24"/>
          <w:szCs w:val="24"/>
        </w:rPr>
        <w:t>Sackett</w:t>
      </w:r>
      <w:proofErr w:type="spellEnd"/>
      <w:r w:rsidRPr="00BD6601">
        <w:rPr>
          <w:rFonts w:ascii="Arial" w:hAnsi="Arial" w:cs="Arial"/>
          <w:sz w:val="24"/>
          <w:szCs w:val="24"/>
        </w:rPr>
        <w:t xml:space="preserve"> proveniente de Chicago, fue quien detectó empezó a divulgar, por sus estudios e investigaciones la importancia de la epidemiología y estadísticas.</w:t>
      </w:r>
    </w:p>
    <w:p w:rsidR="00BD6601" w:rsidRPr="00BD6601" w:rsidRDefault="00BD6601" w:rsidP="00BD66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D6601">
        <w:rPr>
          <w:rFonts w:ascii="Arial" w:hAnsi="Arial" w:cs="Arial"/>
          <w:sz w:val="24"/>
          <w:szCs w:val="24"/>
        </w:rPr>
        <w:t>Otro personaje muy importante es Archie Cochrane, el cual era epidemiólogo que desde los 70’s reconoció que los recursos de salud son siempre limitados, y sugirió que la efectividad de prácticas en la salud siempre deben ser juzgadas en base a pruebas procedentes de trabajos controlados</w:t>
      </w:r>
      <w:r>
        <w:rPr>
          <w:rFonts w:ascii="Arial" w:hAnsi="Arial" w:cs="Arial"/>
          <w:sz w:val="24"/>
          <w:szCs w:val="24"/>
        </w:rPr>
        <w:t>.</w:t>
      </w:r>
    </w:p>
    <w:p w:rsidR="00BD6601" w:rsidRPr="00BD6601" w:rsidRDefault="00BD6601">
      <w:pPr>
        <w:rPr>
          <w:rFonts w:ascii="Arial" w:hAnsi="Arial" w:cs="Arial"/>
          <w:b/>
          <w:sz w:val="24"/>
          <w:szCs w:val="24"/>
        </w:rPr>
      </w:pPr>
    </w:p>
    <w:p w:rsidR="00D07C64" w:rsidRDefault="00D07C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Tipos de estudios</w:t>
      </w:r>
    </w:p>
    <w:p w:rsidR="00D07C64" w:rsidRDefault="00D0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Meta-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Retrospectivo</w:t>
      </w:r>
    </w:p>
    <w:p w:rsidR="00D07C64" w:rsidRDefault="00D0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y controles                                               Prospectivo</w:t>
      </w:r>
    </w:p>
    <w:p w:rsidR="00D07C64" w:rsidRDefault="00D0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Series de casos                                                  Ciego</w:t>
      </w:r>
    </w:p>
    <w:p w:rsidR="00D07C64" w:rsidRDefault="00D0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Cohorte                                                               Doble ciego</w:t>
      </w:r>
    </w:p>
    <w:p w:rsidR="006B791E" w:rsidRDefault="00D0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</w:t>
      </w:r>
      <w:r w:rsidR="00BD6601">
        <w:rPr>
          <w:rFonts w:ascii="Arial" w:hAnsi="Arial" w:cs="Arial"/>
          <w:sz w:val="24"/>
          <w:szCs w:val="24"/>
        </w:rPr>
        <w:t xml:space="preserve">ayos clínicos                                                </w:t>
      </w:r>
      <w:r>
        <w:rPr>
          <w:rFonts w:ascii="Arial" w:hAnsi="Arial" w:cs="Arial"/>
          <w:sz w:val="24"/>
          <w:szCs w:val="24"/>
        </w:rPr>
        <w:t xml:space="preserve"> Triple ciego</w:t>
      </w:r>
    </w:p>
    <w:p w:rsidR="006B791E" w:rsidRDefault="006B791E">
      <w:pPr>
        <w:rPr>
          <w:rFonts w:ascii="Arial" w:hAnsi="Arial" w:cs="Arial"/>
          <w:sz w:val="24"/>
          <w:szCs w:val="24"/>
        </w:rPr>
      </w:pPr>
    </w:p>
    <w:p w:rsidR="00D07C64" w:rsidRPr="006B791E" w:rsidRDefault="00D0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Tipos de sesgos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40F2A" w:rsidTr="00740F2A">
        <w:tc>
          <w:tcPr>
            <w:tcW w:w="4414" w:type="dxa"/>
          </w:tcPr>
          <w:p w:rsidR="00740F2A" w:rsidRPr="00740F2A" w:rsidRDefault="00740F2A">
            <w:pPr>
              <w:rPr>
                <w:rFonts w:ascii="Arial" w:hAnsi="Arial" w:cs="Arial"/>
                <w:sz w:val="24"/>
                <w:szCs w:val="24"/>
              </w:rPr>
            </w:pPr>
            <w:r w:rsidRPr="00740F2A">
              <w:rPr>
                <w:rFonts w:ascii="Arial" w:hAnsi="Arial" w:cs="Arial"/>
                <w:sz w:val="24"/>
                <w:szCs w:val="24"/>
              </w:rPr>
              <w:t>Sesgos de selección</w:t>
            </w:r>
          </w:p>
        </w:tc>
        <w:tc>
          <w:tcPr>
            <w:tcW w:w="4414" w:type="dxa"/>
          </w:tcPr>
          <w:p w:rsidR="00740F2A" w:rsidRPr="00740F2A" w:rsidRDefault="00740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F2A">
              <w:rPr>
                <w:rFonts w:ascii="Arial" w:hAnsi="Arial" w:cs="Arial"/>
                <w:sz w:val="24"/>
                <w:szCs w:val="24"/>
              </w:rPr>
              <w:t>Son errores sistemáticos que se introducen durante la selección o el seguimiento de la población en estudio y que propician una conclusión equivocada sobre la hipótesis en evaluación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0F2A" w:rsidTr="00740F2A">
        <w:tc>
          <w:tcPr>
            <w:tcW w:w="4414" w:type="dxa"/>
          </w:tcPr>
          <w:p w:rsidR="00740F2A" w:rsidRPr="00740F2A" w:rsidRDefault="00740F2A">
            <w:pPr>
              <w:rPr>
                <w:rFonts w:ascii="Arial" w:hAnsi="Arial" w:cs="Arial"/>
                <w:sz w:val="24"/>
                <w:szCs w:val="24"/>
              </w:rPr>
            </w:pPr>
            <w:r w:rsidRPr="00740F2A">
              <w:rPr>
                <w:rFonts w:ascii="Arial" w:hAnsi="Arial" w:cs="Arial"/>
                <w:sz w:val="24"/>
                <w:szCs w:val="24"/>
              </w:rPr>
              <w:t xml:space="preserve">Sesgos </w:t>
            </w:r>
            <w:r w:rsidR="006B791E">
              <w:rPr>
                <w:rFonts w:ascii="Arial" w:hAnsi="Arial" w:cs="Arial"/>
                <w:sz w:val="24"/>
                <w:szCs w:val="24"/>
              </w:rPr>
              <w:t>de medición</w:t>
            </w:r>
          </w:p>
        </w:tc>
        <w:tc>
          <w:tcPr>
            <w:tcW w:w="4414" w:type="dxa"/>
          </w:tcPr>
          <w:p w:rsidR="00740F2A" w:rsidRPr="00740F2A" w:rsidRDefault="00740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F2A">
              <w:rPr>
                <w:rFonts w:ascii="Arial" w:hAnsi="Arial" w:cs="Arial"/>
                <w:sz w:val="24"/>
                <w:szCs w:val="24"/>
              </w:rPr>
              <w:t xml:space="preserve">El sesgo de información se refiere a los errores que se introducen durante la medición de la exposición, de los eventos u otras </w:t>
            </w:r>
            <w:proofErr w:type="spellStart"/>
            <w:r w:rsidRPr="00740F2A">
              <w:rPr>
                <w:rFonts w:ascii="Arial" w:hAnsi="Arial" w:cs="Arial"/>
                <w:sz w:val="24"/>
                <w:szCs w:val="24"/>
              </w:rPr>
              <w:t>covariables</w:t>
            </w:r>
            <w:proofErr w:type="spellEnd"/>
            <w:r w:rsidRPr="00740F2A">
              <w:rPr>
                <w:rFonts w:ascii="Arial" w:hAnsi="Arial" w:cs="Arial"/>
                <w:sz w:val="24"/>
                <w:szCs w:val="24"/>
              </w:rPr>
              <w:t xml:space="preserve"> en la población en estudio, que se presentan de manera diferencial entre los grupos que se comparan, y que ocasionan una conclusión errónea respecto de la hipótesis que se investiga</w:t>
            </w:r>
          </w:p>
        </w:tc>
      </w:tr>
      <w:tr w:rsidR="00740F2A" w:rsidTr="00740F2A">
        <w:tc>
          <w:tcPr>
            <w:tcW w:w="4414" w:type="dxa"/>
          </w:tcPr>
          <w:p w:rsidR="00740F2A" w:rsidRPr="00740F2A" w:rsidRDefault="00740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Sesgos de confusión</w:t>
            </w:r>
          </w:p>
        </w:tc>
        <w:tc>
          <w:tcPr>
            <w:tcW w:w="4414" w:type="dxa"/>
          </w:tcPr>
          <w:p w:rsidR="00740F2A" w:rsidRPr="00740F2A" w:rsidRDefault="00740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F2A">
              <w:rPr>
                <w:rFonts w:ascii="Arial" w:hAnsi="Arial" w:cs="Arial"/>
                <w:sz w:val="24"/>
                <w:szCs w:val="24"/>
              </w:rPr>
              <w:t>Existe sesgo de confusión cuando observamos una asociación no causal entre la exposición y el evento en estudio o cuando no observamos una asociación real entre la exposición y el evento en estudio por la acción de una tercera variable que no es controlada.</w:t>
            </w:r>
          </w:p>
        </w:tc>
      </w:tr>
    </w:tbl>
    <w:p w:rsidR="00740F2A" w:rsidRPr="00D07C64" w:rsidRDefault="00740F2A">
      <w:pPr>
        <w:rPr>
          <w:rFonts w:ascii="Arial" w:hAnsi="Arial" w:cs="Arial"/>
          <w:b/>
          <w:sz w:val="24"/>
          <w:szCs w:val="24"/>
        </w:rPr>
      </w:pPr>
    </w:p>
    <w:sectPr w:rsidR="00740F2A" w:rsidRPr="00D07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64"/>
    <w:rsid w:val="006B791E"/>
    <w:rsid w:val="00740F2A"/>
    <w:rsid w:val="00AF1B45"/>
    <w:rsid w:val="00BD6601"/>
    <w:rsid w:val="00D0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95AD0-F32F-406C-870C-64D1FA6F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dc:description/>
  <cp:lastModifiedBy>Ilse</cp:lastModifiedBy>
  <cp:revision>2</cp:revision>
  <dcterms:created xsi:type="dcterms:W3CDTF">2015-02-12T03:14:00Z</dcterms:created>
  <dcterms:modified xsi:type="dcterms:W3CDTF">2015-02-12T04:59:00Z</dcterms:modified>
</cp:coreProperties>
</file>