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1D" w:rsidRDefault="00734B60" w:rsidP="00115FC8">
      <w:pPr>
        <w:pStyle w:val="Ttulo1"/>
      </w:pPr>
      <w:r>
        <w:rPr>
          <w:noProof/>
          <w:lang w:eastAsia="es-MX"/>
        </w:rPr>
        <w:drawing>
          <wp:anchor distT="0" distB="0" distL="114300" distR="114300" simplePos="0" relativeHeight="251660288" behindDoc="1" locked="0" layoutInCell="1" allowOverlap="1">
            <wp:simplePos x="0" y="0"/>
            <wp:positionH relativeFrom="column">
              <wp:posOffset>-13335</wp:posOffset>
            </wp:positionH>
            <wp:positionV relativeFrom="paragraph">
              <wp:posOffset>-966470</wp:posOffset>
            </wp:positionV>
            <wp:extent cx="1857375" cy="1857375"/>
            <wp:effectExtent l="19050" t="0" r="9525" b="0"/>
            <wp:wrapNone/>
            <wp:docPr id="7" name="Imagen 7" descr="Logo of Lamar Universid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of Lamar Universidad">
                      <a:hlinkClick r:id="rId5"/>
                    </pic:cNvPr>
                    <pic:cNvPicPr>
                      <a:picLocks noChangeAspect="1" noChangeArrowheads="1"/>
                    </pic:cNvPicPr>
                  </pic:nvPicPr>
                  <pic:blipFill>
                    <a:blip r:embed="rId6"/>
                    <a:srcRect/>
                    <a:stretch>
                      <a:fillRect/>
                    </a:stretch>
                  </pic:blipFill>
                  <pic:spPr bwMode="auto">
                    <a:xfrm>
                      <a:off x="0" y="0"/>
                      <a:ext cx="1857375" cy="185737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simplePos x="0" y="0"/>
            <wp:positionH relativeFrom="column">
              <wp:posOffset>4291965</wp:posOffset>
            </wp:positionH>
            <wp:positionV relativeFrom="paragraph">
              <wp:posOffset>-414020</wp:posOffset>
            </wp:positionV>
            <wp:extent cx="1390650" cy="1390650"/>
            <wp:effectExtent l="0" t="0" r="0" b="0"/>
            <wp:wrapNone/>
            <wp:docPr id="2" name="Imagen 4" descr="http://www.enlacesmedicos.com/m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lacesmedicos.com/mbe.gif"/>
                    <pic:cNvPicPr>
                      <a:picLocks noChangeAspect="1" noChangeArrowheads="1"/>
                    </pic:cNvPicPr>
                  </pic:nvPicPr>
                  <pic:blipFill>
                    <a:blip r:embed="rId7"/>
                    <a:srcRect/>
                    <a:stretch>
                      <a:fillRect/>
                    </a:stretch>
                  </pic:blipFill>
                  <pic:spPr bwMode="auto">
                    <a:xfrm>
                      <a:off x="0" y="0"/>
                      <a:ext cx="1390650" cy="1390650"/>
                    </a:xfrm>
                    <a:prstGeom prst="rect">
                      <a:avLst/>
                    </a:prstGeom>
                    <a:noFill/>
                    <a:ln w="9525">
                      <a:noFill/>
                      <a:miter lim="800000"/>
                      <a:headEnd/>
                      <a:tailEnd/>
                    </a:ln>
                  </pic:spPr>
                </pic:pic>
              </a:graphicData>
            </a:graphic>
          </wp:anchor>
        </w:drawing>
      </w:r>
      <w:r w:rsidR="00115FC8">
        <w:t xml:space="preserve">MEDICINA BASADA EN EVIDENCIAS </w:t>
      </w:r>
    </w:p>
    <w:p w:rsidR="00115FC8" w:rsidRDefault="00734B60" w:rsidP="00115FC8">
      <w:r>
        <w:t xml:space="preserve">ALEJANDRINA ARMENDARIZ AGUIRRE  </w:t>
      </w:r>
    </w:p>
    <w:p w:rsidR="00115FC8" w:rsidRDefault="00115FC8" w:rsidP="00115FC8">
      <w:pPr>
        <w:rPr>
          <w:b/>
          <w:color w:val="002676" w:themeColor="accent6" w:themeShade="BF"/>
        </w:rPr>
      </w:pPr>
      <w:r>
        <w:rPr>
          <w:b/>
          <w:color w:val="002676" w:themeColor="accent6" w:themeShade="BF"/>
        </w:rPr>
        <w:t>HISTORIA DE LA MEDICINA BASADA EN EVIDENCIAS</w:t>
      </w:r>
    </w:p>
    <w:p w:rsidR="00115FC8" w:rsidRPr="00BD060A" w:rsidRDefault="00115FC8" w:rsidP="00115FC8">
      <w:pPr>
        <w:rPr>
          <w:b/>
          <w:color w:val="000000" w:themeColor="text1"/>
        </w:rPr>
      </w:pPr>
    </w:p>
    <w:p w:rsidR="00BD060A" w:rsidRPr="00BD060A" w:rsidRDefault="00115FC8" w:rsidP="00BD060A">
      <w:pPr>
        <w:jc w:val="both"/>
        <w:rPr>
          <w:rFonts w:ascii="Arial" w:hAnsi="Arial" w:cs="Arial"/>
          <w:b/>
          <w:color w:val="000000" w:themeColor="text1"/>
          <w:sz w:val="24"/>
          <w:szCs w:val="24"/>
        </w:rPr>
      </w:pPr>
      <w:r w:rsidRPr="00BD060A">
        <w:rPr>
          <w:rFonts w:ascii="Arial" w:hAnsi="Arial" w:cs="Arial"/>
          <w:b/>
          <w:color w:val="000000" w:themeColor="text1"/>
          <w:sz w:val="24"/>
          <w:szCs w:val="24"/>
        </w:rPr>
        <w:t xml:space="preserve">Los orígenes de la MBE se remontan al siglo XIX, época en que la práctica de las sangrías era un recurso terapéutico habitual para múltiples enfermedades. Entonces, Louis, en París, aplica su “método numérico” para valorar la eficacia de la sangría en 78 casos de neumonía, 33 de erisipela y 23 de faringitis; comparando los resultados obtenidos con pacientes que tenían la misma patología y que no habían sido sometidos a esta terapia. Verificó que no hubo diferencias entre los grupos de tratamiento, en el que puede ser uno de los primeros ensayos clínicos de la historia. A partir de esta experiencia, el mismo Louis, creó en 1834, un movimiento al que denominó “Medicine </w:t>
      </w:r>
      <w:proofErr w:type="spellStart"/>
      <w:r w:rsidRPr="00BD060A">
        <w:rPr>
          <w:rFonts w:ascii="Arial" w:hAnsi="Arial" w:cs="Arial"/>
          <w:b/>
          <w:color w:val="000000" w:themeColor="text1"/>
          <w:sz w:val="24"/>
          <w:szCs w:val="24"/>
        </w:rPr>
        <w:t>d'observation</w:t>
      </w:r>
      <w:proofErr w:type="spellEnd"/>
      <w:r w:rsidRPr="00BD060A">
        <w:rPr>
          <w:rFonts w:ascii="Arial" w:hAnsi="Arial" w:cs="Arial"/>
          <w:b/>
          <w:color w:val="000000" w:themeColor="text1"/>
          <w:sz w:val="24"/>
          <w:szCs w:val="24"/>
        </w:rPr>
        <w:t xml:space="preserve">”, y a través de experimentos como el descrito, contribuyó a la </w:t>
      </w:r>
      <w:r w:rsidR="00BD060A" w:rsidRPr="00BD060A">
        <w:rPr>
          <w:rFonts w:ascii="Arial" w:hAnsi="Arial" w:cs="Arial"/>
          <w:b/>
          <w:color w:val="000000" w:themeColor="text1"/>
          <w:sz w:val="24"/>
          <w:szCs w:val="24"/>
        </w:rPr>
        <w:t xml:space="preserve">erradicación de </w:t>
      </w:r>
      <w:r w:rsidRPr="00BD060A">
        <w:rPr>
          <w:rFonts w:ascii="Arial" w:hAnsi="Arial" w:cs="Arial"/>
          <w:b/>
          <w:color w:val="000000" w:themeColor="text1"/>
          <w:sz w:val="24"/>
          <w:szCs w:val="24"/>
        </w:rPr>
        <w:t>terapias inútiles como la sangría.</w:t>
      </w:r>
    </w:p>
    <w:p w:rsidR="00BD060A" w:rsidRDefault="00BD060A" w:rsidP="00BD060A">
      <w:pPr>
        <w:jc w:val="both"/>
        <w:rPr>
          <w:rFonts w:ascii="Arial" w:hAnsi="Arial" w:cs="Arial"/>
          <w:b/>
          <w:color w:val="000000" w:themeColor="text1"/>
          <w:sz w:val="24"/>
          <w:szCs w:val="24"/>
        </w:rPr>
      </w:pPr>
      <w:r>
        <w:rPr>
          <w:rFonts w:ascii="Arial" w:hAnsi="Arial" w:cs="Arial"/>
          <w:b/>
          <w:noProof/>
          <w:color w:val="000000" w:themeColor="text1"/>
          <w:sz w:val="24"/>
          <w:szCs w:val="24"/>
          <w:lang w:eastAsia="es-MX"/>
        </w:rPr>
        <w:drawing>
          <wp:anchor distT="0" distB="0" distL="114300" distR="114300" simplePos="0" relativeHeight="251658240" behindDoc="1" locked="0" layoutInCell="1" allowOverlap="1">
            <wp:simplePos x="0" y="0"/>
            <wp:positionH relativeFrom="column">
              <wp:posOffset>1120140</wp:posOffset>
            </wp:positionH>
            <wp:positionV relativeFrom="paragraph">
              <wp:posOffset>2614930</wp:posOffset>
            </wp:positionV>
            <wp:extent cx="3409950" cy="2066925"/>
            <wp:effectExtent l="19050" t="0" r="0" b="0"/>
            <wp:wrapNone/>
            <wp:docPr id="1" name="BLOGGER_PHOTO_ID_5406277070557136434" descr="http://4.bp.blogspot.com/_j7RPg2Lt5dE/Swb0WhvlxjI/AAAAAAAAAAU/EhJe7UI-L9A/s200/medicina_basada_en_evidencia.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6277070557136434" descr="http://4.bp.blogspot.com/_j7RPg2Lt5dE/Swb0WhvlxjI/AAAAAAAAAAU/EhJe7UI-L9A/s200/medicina_basada_en_evidencia.gif">
                      <a:hlinkClick r:id="rId8"/>
                    </pic:cNvPr>
                    <pic:cNvPicPr>
                      <a:picLocks noChangeAspect="1" noChangeArrowheads="1"/>
                    </pic:cNvPicPr>
                  </pic:nvPicPr>
                  <pic:blipFill>
                    <a:blip r:embed="rId9"/>
                    <a:srcRect/>
                    <a:stretch>
                      <a:fillRect/>
                    </a:stretch>
                  </pic:blipFill>
                  <pic:spPr bwMode="auto">
                    <a:xfrm>
                      <a:off x="0" y="0"/>
                      <a:ext cx="3409950" cy="2066925"/>
                    </a:xfrm>
                    <a:prstGeom prst="rect">
                      <a:avLst/>
                    </a:prstGeom>
                    <a:noFill/>
                    <a:ln w="9525">
                      <a:noFill/>
                      <a:miter lim="800000"/>
                      <a:headEnd/>
                      <a:tailEnd/>
                    </a:ln>
                  </pic:spPr>
                </pic:pic>
              </a:graphicData>
            </a:graphic>
          </wp:anchor>
        </w:drawing>
      </w:r>
      <w:r w:rsidR="00115FC8" w:rsidRPr="00BD060A">
        <w:rPr>
          <w:rFonts w:ascii="Arial" w:hAnsi="Arial" w:cs="Arial"/>
          <w:b/>
          <w:color w:val="000000" w:themeColor="text1"/>
          <w:sz w:val="24"/>
          <w:szCs w:val="24"/>
        </w:rPr>
        <w:t>Entre los años 50</w:t>
      </w:r>
      <w:r w:rsidRPr="00BD060A">
        <w:rPr>
          <w:rFonts w:ascii="Arial" w:hAnsi="Arial" w:cs="Arial"/>
          <w:b/>
          <w:color w:val="000000" w:themeColor="text1"/>
          <w:sz w:val="24"/>
          <w:szCs w:val="24"/>
        </w:rPr>
        <w:t xml:space="preserve"> y 60, Bradford Hill desarrolló </w:t>
      </w:r>
      <w:r w:rsidR="00115FC8" w:rsidRPr="00BD060A">
        <w:rPr>
          <w:rFonts w:ascii="Arial" w:hAnsi="Arial" w:cs="Arial"/>
          <w:b/>
          <w:color w:val="000000" w:themeColor="text1"/>
          <w:sz w:val="24"/>
          <w:szCs w:val="24"/>
        </w:rPr>
        <w:t xml:space="preserve">la metodología del </w:t>
      </w:r>
      <w:r w:rsidRPr="00BD060A">
        <w:rPr>
          <w:rFonts w:ascii="Arial" w:hAnsi="Arial" w:cs="Arial"/>
          <w:b/>
          <w:color w:val="000000" w:themeColor="text1"/>
          <w:sz w:val="24"/>
          <w:szCs w:val="24"/>
        </w:rPr>
        <w:t xml:space="preserve">ensayo clínico, hecho que marcó </w:t>
      </w:r>
      <w:r w:rsidR="00115FC8" w:rsidRPr="00BD060A">
        <w:rPr>
          <w:rFonts w:ascii="Arial" w:hAnsi="Arial" w:cs="Arial"/>
          <w:b/>
          <w:color w:val="000000" w:themeColor="text1"/>
          <w:sz w:val="24"/>
          <w:szCs w:val="24"/>
        </w:rPr>
        <w:t>un hito en la inv</w:t>
      </w:r>
      <w:r w:rsidRPr="00BD060A">
        <w:rPr>
          <w:rFonts w:ascii="Arial" w:hAnsi="Arial" w:cs="Arial"/>
          <w:b/>
          <w:color w:val="000000" w:themeColor="text1"/>
          <w:sz w:val="24"/>
          <w:szCs w:val="24"/>
        </w:rPr>
        <w:t xml:space="preserve">estigación clínica, pues es una </w:t>
      </w:r>
      <w:r w:rsidR="00115FC8" w:rsidRPr="00BD060A">
        <w:rPr>
          <w:rFonts w:ascii="Arial" w:hAnsi="Arial" w:cs="Arial"/>
          <w:b/>
          <w:color w:val="000000" w:themeColor="text1"/>
          <w:sz w:val="24"/>
          <w:szCs w:val="24"/>
        </w:rPr>
        <w:t xml:space="preserve">de las herramientas más </w:t>
      </w:r>
      <w:r w:rsidRPr="00BD060A">
        <w:rPr>
          <w:rFonts w:ascii="Arial" w:hAnsi="Arial" w:cs="Arial"/>
          <w:b/>
          <w:color w:val="000000" w:themeColor="text1"/>
          <w:sz w:val="24"/>
          <w:szCs w:val="24"/>
        </w:rPr>
        <w:t xml:space="preserve">útiles en la toma de decisiones </w:t>
      </w:r>
      <w:r w:rsidR="00115FC8" w:rsidRPr="00BD060A">
        <w:rPr>
          <w:rFonts w:ascii="Arial" w:hAnsi="Arial" w:cs="Arial"/>
          <w:b/>
          <w:color w:val="000000" w:themeColor="text1"/>
          <w:sz w:val="24"/>
          <w:szCs w:val="24"/>
        </w:rPr>
        <w:t>terapéuticas.</w:t>
      </w:r>
      <w:r w:rsidRPr="00BD060A">
        <w:rPr>
          <w:rFonts w:ascii="Arial" w:hAnsi="Arial" w:cs="Arial"/>
          <w:b/>
          <w:color w:val="000000" w:themeColor="text1"/>
          <w:sz w:val="24"/>
          <w:szCs w:val="24"/>
        </w:rPr>
        <w:t xml:space="preserve"> </w:t>
      </w:r>
      <w:r w:rsidR="00115FC8" w:rsidRPr="00BD060A">
        <w:rPr>
          <w:rFonts w:ascii="Arial" w:hAnsi="Arial" w:cs="Arial"/>
          <w:b/>
          <w:color w:val="000000" w:themeColor="text1"/>
          <w:sz w:val="24"/>
          <w:szCs w:val="24"/>
        </w:rPr>
        <w:t>No fue hasta la década de los ochenta, cuando</w:t>
      </w:r>
      <w:r w:rsidRPr="00BD060A">
        <w:rPr>
          <w:rFonts w:ascii="Arial" w:hAnsi="Arial" w:cs="Arial"/>
          <w:b/>
          <w:color w:val="000000" w:themeColor="text1"/>
          <w:sz w:val="24"/>
          <w:szCs w:val="24"/>
        </w:rPr>
        <w:t xml:space="preserve"> </w:t>
      </w:r>
      <w:r w:rsidR="00115FC8" w:rsidRPr="00BD060A">
        <w:rPr>
          <w:rFonts w:ascii="Arial" w:hAnsi="Arial" w:cs="Arial"/>
          <w:b/>
          <w:color w:val="000000" w:themeColor="text1"/>
          <w:sz w:val="24"/>
          <w:szCs w:val="24"/>
        </w:rPr>
        <w:t xml:space="preserve">el grupo de la Universidad </w:t>
      </w:r>
      <w:proofErr w:type="spellStart"/>
      <w:r w:rsidR="00115FC8" w:rsidRPr="00BD060A">
        <w:rPr>
          <w:rFonts w:ascii="Arial" w:hAnsi="Arial" w:cs="Arial"/>
          <w:b/>
          <w:color w:val="000000" w:themeColor="text1"/>
          <w:sz w:val="24"/>
          <w:szCs w:val="24"/>
        </w:rPr>
        <w:t>McMaster</w:t>
      </w:r>
      <w:proofErr w:type="spellEnd"/>
      <w:r w:rsidR="00115FC8" w:rsidRPr="00BD060A">
        <w:rPr>
          <w:rFonts w:ascii="Arial" w:hAnsi="Arial" w:cs="Arial"/>
          <w:b/>
          <w:color w:val="000000" w:themeColor="text1"/>
          <w:sz w:val="24"/>
          <w:szCs w:val="24"/>
        </w:rPr>
        <w:t xml:space="preserve"> (Ontario,</w:t>
      </w:r>
      <w:r w:rsidRPr="00BD060A">
        <w:rPr>
          <w:rFonts w:ascii="Arial" w:hAnsi="Arial" w:cs="Arial"/>
          <w:b/>
          <w:color w:val="000000" w:themeColor="text1"/>
          <w:sz w:val="24"/>
          <w:szCs w:val="24"/>
        </w:rPr>
        <w:t xml:space="preserve"> </w:t>
      </w:r>
      <w:r w:rsidR="00115FC8" w:rsidRPr="00BD060A">
        <w:rPr>
          <w:rFonts w:ascii="Arial" w:hAnsi="Arial" w:cs="Arial"/>
          <w:b/>
          <w:color w:val="000000" w:themeColor="text1"/>
          <w:sz w:val="24"/>
          <w:szCs w:val="24"/>
        </w:rPr>
        <w:t>Canadá), liderado po</w:t>
      </w:r>
      <w:r w:rsidRPr="00BD060A">
        <w:rPr>
          <w:rFonts w:ascii="Arial" w:hAnsi="Arial" w:cs="Arial"/>
          <w:b/>
          <w:color w:val="000000" w:themeColor="text1"/>
          <w:sz w:val="24"/>
          <w:szCs w:val="24"/>
        </w:rPr>
        <w:t xml:space="preserve">r </w:t>
      </w:r>
      <w:proofErr w:type="spellStart"/>
      <w:r w:rsidRPr="00BD060A">
        <w:rPr>
          <w:rFonts w:ascii="Arial" w:hAnsi="Arial" w:cs="Arial"/>
          <w:b/>
          <w:color w:val="000000" w:themeColor="text1"/>
          <w:sz w:val="24"/>
          <w:szCs w:val="24"/>
        </w:rPr>
        <w:t>Sackett</w:t>
      </w:r>
      <w:proofErr w:type="spellEnd"/>
      <w:r w:rsidRPr="00BD060A">
        <w:rPr>
          <w:rFonts w:ascii="Arial" w:hAnsi="Arial" w:cs="Arial"/>
          <w:b/>
          <w:color w:val="000000" w:themeColor="text1"/>
          <w:sz w:val="24"/>
          <w:szCs w:val="24"/>
        </w:rPr>
        <w:t xml:space="preserve"> comienza la enseñanza </w:t>
      </w:r>
      <w:r w:rsidR="00115FC8" w:rsidRPr="00BD060A">
        <w:rPr>
          <w:rFonts w:ascii="Arial" w:hAnsi="Arial" w:cs="Arial"/>
          <w:b/>
          <w:color w:val="000000" w:themeColor="text1"/>
          <w:sz w:val="24"/>
          <w:szCs w:val="24"/>
        </w:rPr>
        <w:t>y prácti</w:t>
      </w:r>
      <w:r w:rsidRPr="00BD060A">
        <w:rPr>
          <w:rFonts w:ascii="Arial" w:hAnsi="Arial" w:cs="Arial"/>
          <w:b/>
          <w:color w:val="000000" w:themeColor="text1"/>
          <w:sz w:val="24"/>
          <w:szCs w:val="24"/>
        </w:rPr>
        <w:t xml:space="preserve">ca de la MBE, auto declarándose </w:t>
      </w:r>
      <w:r w:rsidR="00115FC8" w:rsidRPr="00BD060A">
        <w:rPr>
          <w:rFonts w:ascii="Arial" w:hAnsi="Arial" w:cs="Arial"/>
          <w:b/>
          <w:color w:val="000000" w:themeColor="text1"/>
          <w:sz w:val="24"/>
          <w:szCs w:val="24"/>
        </w:rPr>
        <w:t xml:space="preserve">herederos de la </w:t>
      </w:r>
      <w:proofErr w:type="spellStart"/>
      <w:r w:rsidRPr="00BD060A">
        <w:rPr>
          <w:rFonts w:ascii="Arial" w:hAnsi="Arial" w:cs="Arial"/>
          <w:b/>
          <w:color w:val="000000" w:themeColor="text1"/>
          <w:sz w:val="24"/>
          <w:szCs w:val="24"/>
        </w:rPr>
        <w:t>Médecine</w:t>
      </w:r>
      <w:proofErr w:type="spellEnd"/>
      <w:r w:rsidRPr="00BD060A">
        <w:rPr>
          <w:rFonts w:ascii="Arial" w:hAnsi="Arial" w:cs="Arial"/>
          <w:b/>
          <w:color w:val="000000" w:themeColor="text1"/>
          <w:sz w:val="24"/>
          <w:szCs w:val="24"/>
        </w:rPr>
        <w:t xml:space="preserve"> </w:t>
      </w:r>
      <w:proofErr w:type="spellStart"/>
      <w:r w:rsidRPr="00BD060A">
        <w:rPr>
          <w:rFonts w:ascii="Arial" w:hAnsi="Arial" w:cs="Arial"/>
          <w:b/>
          <w:color w:val="000000" w:themeColor="text1"/>
          <w:sz w:val="24"/>
          <w:szCs w:val="24"/>
        </w:rPr>
        <w:t>d'observation</w:t>
      </w:r>
      <w:proofErr w:type="spellEnd"/>
      <w:r w:rsidRPr="00BD060A">
        <w:rPr>
          <w:rFonts w:ascii="Arial" w:hAnsi="Arial" w:cs="Arial"/>
          <w:b/>
          <w:color w:val="000000" w:themeColor="text1"/>
          <w:sz w:val="24"/>
          <w:szCs w:val="24"/>
        </w:rPr>
        <w:t xml:space="preserve"> de Louis </w:t>
      </w:r>
      <w:r w:rsidR="00115FC8" w:rsidRPr="00BD060A">
        <w:rPr>
          <w:rFonts w:ascii="Arial" w:hAnsi="Arial" w:cs="Arial"/>
          <w:b/>
          <w:color w:val="000000" w:themeColor="text1"/>
          <w:sz w:val="24"/>
          <w:szCs w:val="24"/>
        </w:rPr>
        <w:t>y proponiendo un cam</w:t>
      </w:r>
      <w:r w:rsidRPr="00BD060A">
        <w:rPr>
          <w:rFonts w:ascii="Arial" w:hAnsi="Arial" w:cs="Arial"/>
          <w:b/>
          <w:color w:val="000000" w:themeColor="text1"/>
          <w:sz w:val="24"/>
          <w:szCs w:val="24"/>
        </w:rPr>
        <w:t xml:space="preserve">bio de paradigma en la práctica </w:t>
      </w:r>
      <w:r w:rsidR="00115FC8" w:rsidRPr="00BD060A">
        <w:rPr>
          <w:rFonts w:ascii="Arial" w:hAnsi="Arial" w:cs="Arial"/>
          <w:b/>
          <w:color w:val="000000" w:themeColor="text1"/>
          <w:sz w:val="24"/>
          <w:szCs w:val="24"/>
        </w:rPr>
        <w:t xml:space="preserve">de la medicina.4 </w:t>
      </w:r>
      <w:r w:rsidRPr="00BD060A">
        <w:rPr>
          <w:rFonts w:ascii="Arial" w:hAnsi="Arial" w:cs="Arial"/>
          <w:b/>
          <w:color w:val="000000" w:themeColor="text1"/>
          <w:sz w:val="24"/>
          <w:szCs w:val="24"/>
        </w:rPr>
        <w:t xml:space="preserve">En forma simultánea, los grupos </w:t>
      </w:r>
      <w:r w:rsidR="00115FC8" w:rsidRPr="00BD060A">
        <w:rPr>
          <w:rFonts w:ascii="Arial" w:hAnsi="Arial" w:cs="Arial"/>
          <w:b/>
          <w:color w:val="000000" w:themeColor="text1"/>
          <w:sz w:val="24"/>
          <w:szCs w:val="24"/>
        </w:rPr>
        <w:t xml:space="preserve">de </w:t>
      </w:r>
      <w:proofErr w:type="spellStart"/>
      <w:r w:rsidR="00115FC8" w:rsidRPr="00BD060A">
        <w:rPr>
          <w:rFonts w:ascii="Arial" w:hAnsi="Arial" w:cs="Arial"/>
          <w:b/>
          <w:color w:val="000000" w:themeColor="text1"/>
          <w:sz w:val="24"/>
          <w:szCs w:val="24"/>
        </w:rPr>
        <w:t>Fein</w:t>
      </w:r>
      <w:r w:rsidRPr="00BD060A">
        <w:rPr>
          <w:rFonts w:ascii="Arial" w:hAnsi="Arial" w:cs="Arial"/>
          <w:b/>
          <w:color w:val="000000" w:themeColor="text1"/>
          <w:sz w:val="24"/>
          <w:szCs w:val="24"/>
        </w:rPr>
        <w:t>stein</w:t>
      </w:r>
      <w:proofErr w:type="spellEnd"/>
      <w:r w:rsidRPr="00BD060A">
        <w:rPr>
          <w:rFonts w:ascii="Arial" w:hAnsi="Arial" w:cs="Arial"/>
          <w:b/>
          <w:color w:val="000000" w:themeColor="text1"/>
          <w:sz w:val="24"/>
          <w:szCs w:val="24"/>
        </w:rPr>
        <w:t xml:space="preserve"> (Universidad de Yale, New </w:t>
      </w:r>
      <w:r w:rsidR="00115FC8" w:rsidRPr="00BD060A">
        <w:rPr>
          <w:rFonts w:ascii="Arial" w:hAnsi="Arial" w:cs="Arial"/>
          <w:b/>
          <w:color w:val="000000" w:themeColor="text1"/>
          <w:sz w:val="24"/>
          <w:szCs w:val="24"/>
        </w:rPr>
        <w:t xml:space="preserve">Haven),5 </w:t>
      </w:r>
      <w:proofErr w:type="spellStart"/>
      <w:r w:rsidR="00115FC8" w:rsidRPr="00BD060A">
        <w:rPr>
          <w:rFonts w:ascii="Arial" w:hAnsi="Arial" w:cs="Arial"/>
          <w:b/>
          <w:color w:val="000000" w:themeColor="text1"/>
          <w:sz w:val="24"/>
          <w:szCs w:val="24"/>
        </w:rPr>
        <w:t>Spitzer</w:t>
      </w:r>
      <w:proofErr w:type="spellEnd"/>
      <w:r w:rsidR="00115FC8" w:rsidRPr="00BD060A">
        <w:rPr>
          <w:rFonts w:ascii="Arial" w:hAnsi="Arial" w:cs="Arial"/>
          <w:b/>
          <w:color w:val="000000" w:themeColor="text1"/>
          <w:sz w:val="24"/>
          <w:szCs w:val="24"/>
        </w:rPr>
        <w:t xml:space="preserve"> </w:t>
      </w:r>
      <w:r w:rsidRPr="00BD060A">
        <w:rPr>
          <w:rFonts w:ascii="Arial" w:hAnsi="Arial" w:cs="Arial"/>
          <w:b/>
          <w:color w:val="000000" w:themeColor="text1"/>
          <w:sz w:val="24"/>
          <w:szCs w:val="24"/>
        </w:rPr>
        <w:t xml:space="preserve">(Universidad de </w:t>
      </w:r>
      <w:proofErr w:type="spellStart"/>
      <w:r w:rsidRPr="00BD060A">
        <w:rPr>
          <w:rFonts w:ascii="Arial" w:hAnsi="Arial" w:cs="Arial"/>
          <w:b/>
          <w:color w:val="000000" w:themeColor="text1"/>
          <w:sz w:val="24"/>
          <w:szCs w:val="24"/>
        </w:rPr>
        <w:t>McGill</w:t>
      </w:r>
      <w:proofErr w:type="spellEnd"/>
      <w:r w:rsidRPr="00BD060A">
        <w:rPr>
          <w:rFonts w:ascii="Arial" w:hAnsi="Arial" w:cs="Arial"/>
          <w:b/>
          <w:color w:val="000000" w:themeColor="text1"/>
          <w:sz w:val="24"/>
          <w:szCs w:val="24"/>
        </w:rPr>
        <w:t xml:space="preserve">, Quebec, </w:t>
      </w:r>
      <w:r w:rsidR="00115FC8" w:rsidRPr="00BD060A">
        <w:rPr>
          <w:rFonts w:ascii="Arial" w:hAnsi="Arial" w:cs="Arial"/>
          <w:b/>
          <w:color w:val="000000" w:themeColor="text1"/>
          <w:sz w:val="24"/>
          <w:szCs w:val="24"/>
        </w:rPr>
        <w:t xml:space="preserve">Canadá),6 y </w:t>
      </w:r>
      <w:proofErr w:type="spellStart"/>
      <w:r w:rsidRPr="00BD060A">
        <w:rPr>
          <w:rFonts w:ascii="Arial" w:hAnsi="Arial" w:cs="Arial"/>
          <w:b/>
          <w:color w:val="000000" w:themeColor="text1"/>
          <w:sz w:val="24"/>
          <w:szCs w:val="24"/>
        </w:rPr>
        <w:t>Rothman</w:t>
      </w:r>
      <w:proofErr w:type="spellEnd"/>
      <w:r w:rsidRPr="00BD060A">
        <w:rPr>
          <w:rFonts w:ascii="Arial" w:hAnsi="Arial" w:cs="Arial"/>
          <w:b/>
          <w:color w:val="000000" w:themeColor="text1"/>
          <w:sz w:val="24"/>
          <w:szCs w:val="24"/>
        </w:rPr>
        <w:t xml:space="preserve"> (</w:t>
      </w:r>
      <w:proofErr w:type="spellStart"/>
      <w:r w:rsidRPr="00BD060A">
        <w:rPr>
          <w:rFonts w:ascii="Arial" w:hAnsi="Arial" w:cs="Arial"/>
          <w:b/>
          <w:color w:val="000000" w:themeColor="text1"/>
          <w:sz w:val="24"/>
          <w:szCs w:val="24"/>
        </w:rPr>
        <w:t>Epidemiology</w:t>
      </w:r>
      <w:proofErr w:type="spellEnd"/>
      <w:r w:rsidRPr="00BD060A">
        <w:rPr>
          <w:rFonts w:ascii="Arial" w:hAnsi="Arial" w:cs="Arial"/>
          <w:b/>
          <w:color w:val="000000" w:themeColor="text1"/>
          <w:sz w:val="24"/>
          <w:szCs w:val="24"/>
        </w:rPr>
        <w:t xml:space="preserve"> </w:t>
      </w:r>
      <w:proofErr w:type="spellStart"/>
      <w:r w:rsidRPr="00BD060A">
        <w:rPr>
          <w:rFonts w:ascii="Arial" w:hAnsi="Arial" w:cs="Arial"/>
          <w:b/>
          <w:color w:val="000000" w:themeColor="text1"/>
          <w:sz w:val="24"/>
          <w:szCs w:val="24"/>
        </w:rPr>
        <w:t>Resources</w:t>
      </w:r>
      <w:proofErr w:type="spellEnd"/>
      <w:r w:rsidRPr="00BD060A">
        <w:rPr>
          <w:rFonts w:ascii="Arial" w:hAnsi="Arial" w:cs="Arial"/>
          <w:b/>
          <w:color w:val="000000" w:themeColor="text1"/>
          <w:sz w:val="24"/>
          <w:szCs w:val="24"/>
        </w:rPr>
        <w:t xml:space="preserve"> </w:t>
      </w:r>
      <w:r w:rsidR="00115FC8" w:rsidRPr="00BD060A">
        <w:rPr>
          <w:rFonts w:ascii="Arial" w:hAnsi="Arial" w:cs="Arial"/>
          <w:b/>
          <w:color w:val="000000" w:themeColor="text1"/>
          <w:sz w:val="24"/>
          <w:szCs w:val="24"/>
        </w:rPr>
        <w:t>Inc., Massachus</w:t>
      </w:r>
      <w:r w:rsidRPr="00BD060A">
        <w:rPr>
          <w:rFonts w:ascii="Arial" w:hAnsi="Arial" w:cs="Arial"/>
          <w:b/>
          <w:color w:val="000000" w:themeColor="text1"/>
          <w:sz w:val="24"/>
          <w:szCs w:val="24"/>
        </w:rPr>
        <w:t xml:space="preserve">etts),7 comienzan aplicando MBE </w:t>
      </w:r>
      <w:r w:rsidR="00115FC8" w:rsidRPr="00BD060A">
        <w:rPr>
          <w:rFonts w:ascii="Arial" w:hAnsi="Arial" w:cs="Arial"/>
          <w:b/>
          <w:color w:val="000000" w:themeColor="text1"/>
          <w:sz w:val="24"/>
          <w:szCs w:val="24"/>
        </w:rPr>
        <w:t>en sus respectivos</w:t>
      </w:r>
      <w:r w:rsidRPr="00BD060A">
        <w:rPr>
          <w:rFonts w:ascii="Arial" w:hAnsi="Arial" w:cs="Arial"/>
          <w:b/>
          <w:color w:val="000000" w:themeColor="text1"/>
          <w:sz w:val="24"/>
          <w:szCs w:val="24"/>
        </w:rPr>
        <w:t xml:space="preserve"> centros, hecho que permite una </w:t>
      </w:r>
      <w:r w:rsidR="00115FC8" w:rsidRPr="00BD060A">
        <w:rPr>
          <w:rFonts w:ascii="Arial" w:hAnsi="Arial" w:cs="Arial"/>
          <w:b/>
          <w:color w:val="000000" w:themeColor="text1"/>
          <w:sz w:val="24"/>
          <w:szCs w:val="24"/>
        </w:rPr>
        <w:t>rápida global</w:t>
      </w:r>
      <w:r w:rsidRPr="00BD060A">
        <w:rPr>
          <w:rFonts w:ascii="Arial" w:hAnsi="Arial" w:cs="Arial"/>
          <w:b/>
          <w:color w:val="000000" w:themeColor="text1"/>
          <w:sz w:val="24"/>
          <w:szCs w:val="24"/>
        </w:rPr>
        <w:t xml:space="preserve">ización de este nuevo paradigma </w:t>
      </w:r>
      <w:r w:rsidR="00115FC8" w:rsidRPr="00BD060A">
        <w:rPr>
          <w:rFonts w:ascii="Arial" w:hAnsi="Arial" w:cs="Arial"/>
          <w:b/>
          <w:color w:val="000000" w:themeColor="text1"/>
          <w:sz w:val="24"/>
          <w:szCs w:val="24"/>
        </w:rPr>
        <w:t>médic</w:t>
      </w:r>
      <w:r>
        <w:rPr>
          <w:rFonts w:ascii="Arial" w:hAnsi="Arial" w:cs="Arial"/>
          <w:b/>
          <w:color w:val="000000" w:themeColor="text1"/>
          <w:sz w:val="24"/>
          <w:szCs w:val="24"/>
        </w:rPr>
        <w:t>o.</w:t>
      </w:r>
    </w:p>
    <w:p w:rsidR="00BD060A" w:rsidRDefault="00BD060A" w:rsidP="00BD060A">
      <w:pPr>
        <w:jc w:val="both"/>
        <w:rPr>
          <w:rFonts w:ascii="Arial" w:hAnsi="Arial" w:cs="Arial"/>
          <w:b/>
          <w:color w:val="000000" w:themeColor="text1"/>
          <w:sz w:val="24"/>
          <w:szCs w:val="24"/>
        </w:rPr>
      </w:pPr>
    </w:p>
    <w:p w:rsidR="00BD060A" w:rsidRDefault="00BD060A" w:rsidP="00BD060A">
      <w:pPr>
        <w:jc w:val="both"/>
        <w:rPr>
          <w:rFonts w:ascii="Arial" w:hAnsi="Arial" w:cs="Arial"/>
          <w:b/>
          <w:color w:val="000000" w:themeColor="text1"/>
          <w:sz w:val="24"/>
          <w:szCs w:val="24"/>
        </w:rPr>
      </w:pPr>
    </w:p>
    <w:p w:rsidR="00BD060A" w:rsidRDefault="00BD060A" w:rsidP="00BD060A">
      <w:pPr>
        <w:jc w:val="both"/>
        <w:rPr>
          <w:rFonts w:ascii="Arial" w:hAnsi="Arial" w:cs="Arial"/>
          <w:b/>
          <w:color w:val="000000" w:themeColor="text1"/>
          <w:sz w:val="24"/>
          <w:szCs w:val="24"/>
        </w:rPr>
      </w:pPr>
    </w:p>
    <w:p w:rsidR="00BD060A" w:rsidRDefault="00BD060A" w:rsidP="00BD060A">
      <w:pPr>
        <w:jc w:val="both"/>
        <w:rPr>
          <w:rFonts w:ascii="Arial" w:hAnsi="Arial" w:cs="Arial"/>
          <w:b/>
          <w:color w:val="000000" w:themeColor="text1"/>
          <w:sz w:val="24"/>
          <w:szCs w:val="24"/>
        </w:rPr>
      </w:pPr>
    </w:p>
    <w:p w:rsidR="00BD060A" w:rsidRDefault="00BD060A" w:rsidP="00BD060A">
      <w:pPr>
        <w:jc w:val="both"/>
        <w:rPr>
          <w:rFonts w:ascii="Arial" w:hAnsi="Arial" w:cs="Arial"/>
          <w:b/>
          <w:color w:val="000000" w:themeColor="text1"/>
          <w:sz w:val="24"/>
          <w:szCs w:val="24"/>
        </w:rPr>
      </w:pPr>
    </w:p>
    <w:p w:rsidR="00BD060A" w:rsidRDefault="00BD060A" w:rsidP="00BD060A">
      <w:pPr>
        <w:jc w:val="both"/>
        <w:rPr>
          <w:rFonts w:ascii="Arial" w:hAnsi="Arial" w:cs="Arial"/>
          <w:b/>
          <w:color w:val="000000" w:themeColor="text1"/>
          <w:sz w:val="24"/>
          <w:szCs w:val="24"/>
        </w:rPr>
      </w:pPr>
    </w:p>
    <w:p w:rsidR="00BD060A" w:rsidRDefault="00BD060A" w:rsidP="00BD060A">
      <w:pPr>
        <w:jc w:val="both"/>
        <w:rPr>
          <w:rFonts w:ascii="Arial" w:hAnsi="Arial" w:cs="Arial"/>
          <w:b/>
          <w:color w:val="002676" w:themeColor="accent6" w:themeShade="BF"/>
          <w:sz w:val="24"/>
          <w:szCs w:val="24"/>
        </w:rPr>
      </w:pPr>
      <w:r>
        <w:rPr>
          <w:rFonts w:ascii="Arial" w:hAnsi="Arial" w:cs="Arial"/>
          <w:b/>
          <w:color w:val="002676" w:themeColor="accent6" w:themeShade="BF"/>
          <w:sz w:val="24"/>
          <w:szCs w:val="24"/>
        </w:rPr>
        <w:lastRenderedPageBreak/>
        <w:t>TIPOS DE ESTUDIOS QUE SE INVOLUCRAN</w:t>
      </w:r>
    </w:p>
    <w:p w:rsidR="00BD060A" w:rsidRPr="00BD060A" w:rsidRDefault="00BD060A" w:rsidP="00BD060A">
      <w:pPr>
        <w:jc w:val="both"/>
        <w:rPr>
          <w:rFonts w:ascii="Arial" w:hAnsi="Arial" w:cs="Arial"/>
          <w:b/>
          <w:color w:val="9C0041" w:themeColor="accent1" w:themeShade="80"/>
          <w:sz w:val="24"/>
          <w:szCs w:val="24"/>
        </w:rPr>
      </w:pPr>
      <w:r w:rsidRPr="00BD060A">
        <w:rPr>
          <w:rFonts w:ascii="Arial" w:hAnsi="Arial" w:cs="Arial"/>
          <w:b/>
          <w:color w:val="9C0041" w:themeColor="accent1" w:themeShade="80"/>
          <w:sz w:val="24"/>
          <w:szCs w:val="24"/>
        </w:rPr>
        <w:t>Estudios epidemiológicos</w:t>
      </w:r>
    </w:p>
    <w:p w:rsidR="00BD060A" w:rsidRPr="00BD060A" w:rsidRDefault="00BD060A" w:rsidP="00BD060A">
      <w:pPr>
        <w:jc w:val="both"/>
        <w:rPr>
          <w:rFonts w:ascii="Arial" w:hAnsi="Arial" w:cs="Arial"/>
          <w:b/>
          <w:color w:val="9C0041" w:themeColor="accent1" w:themeShade="80"/>
          <w:sz w:val="24"/>
          <w:szCs w:val="24"/>
        </w:rPr>
      </w:pPr>
      <w:r w:rsidRPr="00BD060A">
        <w:rPr>
          <w:rFonts w:ascii="Arial" w:hAnsi="Arial" w:cs="Arial"/>
          <w:b/>
          <w:color w:val="9C0041" w:themeColor="accent1" w:themeShade="80"/>
          <w:sz w:val="24"/>
          <w:szCs w:val="24"/>
        </w:rPr>
        <w:t>•</w:t>
      </w:r>
      <w:proofErr w:type="gramStart"/>
      <w:r w:rsidRPr="00BD060A">
        <w:rPr>
          <w:rFonts w:ascii="Arial" w:hAnsi="Arial" w:cs="Arial"/>
          <w:b/>
          <w:color w:val="9C0041" w:themeColor="accent1" w:themeShade="80"/>
          <w:sz w:val="24"/>
          <w:szCs w:val="24"/>
        </w:rPr>
        <w:t>Descriptivos(</w:t>
      </w:r>
      <w:proofErr w:type="gramEnd"/>
      <w:r w:rsidRPr="00BD060A">
        <w:rPr>
          <w:rFonts w:ascii="Arial" w:hAnsi="Arial" w:cs="Arial"/>
          <w:b/>
          <w:color w:val="9C0041" w:themeColor="accent1" w:themeShade="80"/>
          <w:sz w:val="24"/>
          <w:szCs w:val="24"/>
        </w:rPr>
        <w:t>determinar la frecuencia y la distribución )</w:t>
      </w:r>
    </w:p>
    <w:p w:rsidR="00BD060A" w:rsidRPr="00BD060A" w:rsidRDefault="00BD060A" w:rsidP="00BD060A">
      <w:pPr>
        <w:jc w:val="both"/>
        <w:rPr>
          <w:rFonts w:ascii="Arial" w:hAnsi="Arial" w:cs="Arial"/>
          <w:b/>
          <w:color w:val="9C0041" w:themeColor="accent1" w:themeShade="80"/>
          <w:sz w:val="24"/>
          <w:szCs w:val="24"/>
        </w:rPr>
      </w:pPr>
      <w:r w:rsidRPr="00BD060A">
        <w:rPr>
          <w:rFonts w:ascii="Arial" w:hAnsi="Arial" w:cs="Arial"/>
          <w:b/>
          <w:color w:val="9C0041" w:themeColor="accent1" w:themeShade="80"/>
          <w:sz w:val="24"/>
          <w:szCs w:val="24"/>
        </w:rPr>
        <w:t>•Estudios correlaciónales</w:t>
      </w:r>
    </w:p>
    <w:p w:rsidR="00BD060A" w:rsidRPr="00BD060A" w:rsidRDefault="00BD060A" w:rsidP="00BD060A">
      <w:pPr>
        <w:jc w:val="both"/>
        <w:rPr>
          <w:rFonts w:ascii="Arial" w:hAnsi="Arial" w:cs="Arial"/>
          <w:b/>
          <w:color w:val="9C0041" w:themeColor="accent1" w:themeShade="80"/>
          <w:sz w:val="24"/>
          <w:szCs w:val="24"/>
        </w:rPr>
      </w:pPr>
      <w:r w:rsidRPr="00BD060A">
        <w:rPr>
          <w:rFonts w:ascii="Arial" w:hAnsi="Arial" w:cs="Arial"/>
          <w:b/>
          <w:color w:val="9C0041" w:themeColor="accent1" w:themeShade="80"/>
          <w:sz w:val="24"/>
          <w:szCs w:val="24"/>
        </w:rPr>
        <w:t>•Reporte de casos</w:t>
      </w:r>
    </w:p>
    <w:p w:rsidR="00BD060A" w:rsidRPr="00BD060A" w:rsidRDefault="00BD060A" w:rsidP="00BD060A">
      <w:pPr>
        <w:jc w:val="both"/>
        <w:rPr>
          <w:rFonts w:ascii="Arial" w:hAnsi="Arial" w:cs="Arial"/>
          <w:b/>
          <w:color w:val="9C0041" w:themeColor="accent1" w:themeShade="80"/>
          <w:sz w:val="24"/>
          <w:szCs w:val="24"/>
        </w:rPr>
      </w:pPr>
      <w:r w:rsidRPr="00BD060A">
        <w:rPr>
          <w:rFonts w:ascii="Arial" w:hAnsi="Arial" w:cs="Arial"/>
          <w:b/>
          <w:color w:val="9C0041" w:themeColor="accent1" w:themeShade="80"/>
          <w:sz w:val="24"/>
          <w:szCs w:val="24"/>
        </w:rPr>
        <w:t>•Reporte de serie de casos</w:t>
      </w:r>
    </w:p>
    <w:p w:rsidR="00BD060A" w:rsidRPr="00BD060A" w:rsidRDefault="00BD060A" w:rsidP="00BD060A">
      <w:pPr>
        <w:jc w:val="both"/>
        <w:rPr>
          <w:rFonts w:ascii="Arial" w:hAnsi="Arial" w:cs="Arial"/>
          <w:b/>
          <w:color w:val="9C0041" w:themeColor="accent1" w:themeShade="80"/>
          <w:sz w:val="24"/>
          <w:szCs w:val="24"/>
        </w:rPr>
      </w:pPr>
      <w:r w:rsidRPr="00BD060A">
        <w:rPr>
          <w:rFonts w:ascii="Arial" w:hAnsi="Arial" w:cs="Arial"/>
          <w:b/>
          <w:color w:val="9C0041" w:themeColor="accent1" w:themeShade="80"/>
          <w:sz w:val="24"/>
          <w:szCs w:val="24"/>
        </w:rPr>
        <w:t>•Estudios Transversales o de prevalencia</w:t>
      </w:r>
    </w:p>
    <w:p w:rsidR="00BD060A" w:rsidRPr="00BD060A" w:rsidRDefault="00BD060A" w:rsidP="00BD060A">
      <w:pPr>
        <w:pStyle w:val="Default"/>
        <w:jc w:val="both"/>
        <w:rPr>
          <w:rFonts w:ascii="Arial" w:hAnsi="Arial" w:cs="Arial"/>
          <w:b/>
          <w:color w:val="9C0041" w:themeColor="accent1" w:themeShade="80"/>
        </w:rPr>
      </w:pPr>
    </w:p>
    <w:p w:rsidR="00BD060A" w:rsidRPr="00BD060A" w:rsidRDefault="00BD060A" w:rsidP="00BD060A">
      <w:pPr>
        <w:pStyle w:val="Default"/>
        <w:jc w:val="both"/>
        <w:rPr>
          <w:rFonts w:ascii="Arial" w:hAnsi="Arial" w:cs="Arial"/>
          <w:b/>
          <w:color w:val="9C0041" w:themeColor="accent1" w:themeShade="80"/>
        </w:rPr>
      </w:pPr>
      <w:r w:rsidRPr="00BD060A">
        <w:rPr>
          <w:rFonts w:ascii="Arial" w:hAnsi="Arial" w:cs="Arial"/>
          <w:b/>
          <w:color w:val="9C0041" w:themeColor="accent1" w:themeShade="80"/>
        </w:rPr>
        <w:t xml:space="preserve">Analíticos </w:t>
      </w:r>
    </w:p>
    <w:p w:rsidR="00BD060A" w:rsidRPr="00BD060A" w:rsidRDefault="00BD060A" w:rsidP="00BD060A">
      <w:pPr>
        <w:jc w:val="both"/>
        <w:rPr>
          <w:rFonts w:ascii="Arial" w:hAnsi="Arial" w:cs="Arial"/>
          <w:b/>
          <w:color w:val="9C0041" w:themeColor="accent1" w:themeShade="80"/>
          <w:sz w:val="24"/>
          <w:szCs w:val="24"/>
        </w:rPr>
      </w:pPr>
      <w:r w:rsidRPr="00BD060A">
        <w:rPr>
          <w:rFonts w:ascii="Arial" w:hAnsi="Arial" w:cs="Arial"/>
          <w:b/>
          <w:color w:val="9C0041" w:themeColor="accent1" w:themeShade="80"/>
          <w:sz w:val="24"/>
          <w:szCs w:val="24"/>
        </w:rPr>
        <w:t>Observacionales</w:t>
      </w:r>
    </w:p>
    <w:p w:rsidR="00BD060A" w:rsidRPr="00BD060A" w:rsidRDefault="00BD060A" w:rsidP="00BD060A">
      <w:pPr>
        <w:pStyle w:val="Default"/>
        <w:jc w:val="both"/>
        <w:rPr>
          <w:rFonts w:ascii="Arial" w:hAnsi="Arial" w:cs="Arial"/>
          <w:b/>
          <w:color w:val="9C0041" w:themeColor="accent1" w:themeShade="80"/>
        </w:rPr>
      </w:pPr>
      <w:r w:rsidRPr="00BD060A">
        <w:rPr>
          <w:rFonts w:ascii="Arial" w:hAnsi="Arial" w:cs="Arial"/>
          <w:b/>
          <w:color w:val="9C0041" w:themeColor="accent1" w:themeShade="80"/>
        </w:rPr>
        <w:t>Experimentales</w:t>
      </w:r>
    </w:p>
    <w:p w:rsidR="00BD060A" w:rsidRPr="00BD060A" w:rsidRDefault="00BD060A" w:rsidP="00BD060A">
      <w:pPr>
        <w:pStyle w:val="Default"/>
        <w:jc w:val="both"/>
        <w:rPr>
          <w:rFonts w:ascii="Arial" w:hAnsi="Arial" w:cs="Arial"/>
          <w:b/>
          <w:color w:val="9C0041" w:themeColor="accent1" w:themeShade="80"/>
        </w:rPr>
      </w:pPr>
      <w:proofErr w:type="spellStart"/>
      <w:r w:rsidRPr="00BD060A">
        <w:rPr>
          <w:rFonts w:ascii="Arial" w:hAnsi="Arial" w:cs="Arial"/>
          <w:b/>
          <w:color w:val="9C0041" w:themeColor="accent1" w:themeShade="80"/>
        </w:rPr>
        <w:t>Estudioscorrelacionales</w:t>
      </w:r>
      <w:proofErr w:type="spellEnd"/>
    </w:p>
    <w:p w:rsidR="00BD060A" w:rsidRPr="00BD060A" w:rsidRDefault="00BD060A" w:rsidP="00BD060A">
      <w:pPr>
        <w:pStyle w:val="Default"/>
        <w:jc w:val="both"/>
        <w:rPr>
          <w:rFonts w:ascii="Arial" w:hAnsi="Arial" w:cs="Arial"/>
          <w:b/>
          <w:color w:val="9C0041" w:themeColor="accent1" w:themeShade="80"/>
        </w:rPr>
      </w:pPr>
    </w:p>
    <w:p w:rsidR="00BD060A" w:rsidRPr="00BD060A" w:rsidRDefault="00BD060A" w:rsidP="00BD060A">
      <w:pPr>
        <w:pStyle w:val="Default"/>
        <w:jc w:val="both"/>
        <w:rPr>
          <w:rFonts w:ascii="Arial" w:hAnsi="Arial" w:cs="Arial"/>
          <w:b/>
          <w:color w:val="9C0041" w:themeColor="accent1" w:themeShade="80"/>
        </w:rPr>
      </w:pPr>
      <w:r w:rsidRPr="00BD060A">
        <w:rPr>
          <w:rFonts w:ascii="Arial" w:hAnsi="Arial" w:cs="Arial"/>
          <w:b/>
          <w:color w:val="9C0041" w:themeColor="accent1" w:themeShade="80"/>
        </w:rPr>
        <w:t>Reportes de casos:</w:t>
      </w:r>
    </w:p>
    <w:p w:rsidR="00BD060A" w:rsidRPr="00BD060A" w:rsidRDefault="00BD060A" w:rsidP="00BD060A">
      <w:pPr>
        <w:pStyle w:val="Default"/>
        <w:jc w:val="both"/>
        <w:rPr>
          <w:rFonts w:ascii="Arial" w:hAnsi="Arial" w:cs="Arial"/>
          <w:b/>
          <w:color w:val="9C0041" w:themeColor="accent1" w:themeShade="80"/>
        </w:rPr>
      </w:pPr>
    </w:p>
    <w:p w:rsidR="00BD060A" w:rsidRPr="00BD060A" w:rsidRDefault="00BD060A" w:rsidP="00BD060A">
      <w:pPr>
        <w:pStyle w:val="Default"/>
        <w:jc w:val="both"/>
        <w:rPr>
          <w:rFonts w:ascii="Arial" w:hAnsi="Arial" w:cs="Arial"/>
          <w:b/>
          <w:color w:val="9C0041" w:themeColor="accent1" w:themeShade="80"/>
        </w:rPr>
      </w:pPr>
      <w:r w:rsidRPr="00BD060A">
        <w:rPr>
          <w:rFonts w:ascii="Arial" w:hAnsi="Arial" w:cs="Arial"/>
          <w:b/>
          <w:color w:val="9C0041" w:themeColor="accent1" w:themeShade="80"/>
        </w:rPr>
        <w:t xml:space="preserve">Estudios transversales </w:t>
      </w:r>
    </w:p>
    <w:p w:rsidR="00BD060A" w:rsidRDefault="00BD060A" w:rsidP="00BD060A">
      <w:pPr>
        <w:jc w:val="both"/>
        <w:rPr>
          <w:rFonts w:ascii="Arial" w:hAnsi="Arial" w:cs="Arial"/>
          <w:b/>
          <w:color w:val="9C0041" w:themeColor="accent1" w:themeShade="80"/>
          <w:sz w:val="24"/>
          <w:szCs w:val="24"/>
        </w:rPr>
      </w:pPr>
    </w:p>
    <w:p w:rsidR="00BD060A" w:rsidRDefault="00BD060A" w:rsidP="00BD060A">
      <w:pPr>
        <w:jc w:val="both"/>
        <w:rPr>
          <w:rFonts w:ascii="Arial" w:hAnsi="Arial" w:cs="Arial"/>
          <w:b/>
          <w:color w:val="9C0041" w:themeColor="accent1" w:themeShade="80"/>
          <w:sz w:val="24"/>
          <w:szCs w:val="24"/>
        </w:rPr>
      </w:pPr>
    </w:p>
    <w:p w:rsidR="00BD060A" w:rsidRDefault="00BD060A" w:rsidP="00BD060A">
      <w:pPr>
        <w:jc w:val="both"/>
        <w:rPr>
          <w:rFonts w:ascii="Arial" w:hAnsi="Arial" w:cs="Arial"/>
          <w:b/>
          <w:color w:val="9C0041" w:themeColor="accent1" w:themeShade="80"/>
          <w:sz w:val="24"/>
          <w:szCs w:val="24"/>
        </w:rPr>
      </w:pPr>
    </w:p>
    <w:tbl>
      <w:tblPr>
        <w:tblStyle w:val="Sombreadomedio1-nfasis3"/>
        <w:tblW w:w="0" w:type="auto"/>
        <w:tblLook w:val="04A0"/>
      </w:tblPr>
      <w:tblGrid>
        <w:gridCol w:w="8978"/>
      </w:tblGrid>
      <w:tr w:rsidR="00BD060A" w:rsidTr="00BD060A">
        <w:trPr>
          <w:cnfStyle w:val="100000000000"/>
        </w:trPr>
        <w:tc>
          <w:tcPr>
            <w:cnfStyle w:val="001000000000"/>
            <w:tcW w:w="8978" w:type="dxa"/>
          </w:tcPr>
          <w:p w:rsidR="00BD060A" w:rsidRDefault="00BD060A" w:rsidP="00BD060A">
            <w:pPr>
              <w:jc w:val="both"/>
              <w:rPr>
                <w:rFonts w:ascii="Arial" w:hAnsi="Arial" w:cs="Arial"/>
                <w:b w:val="0"/>
                <w:color w:val="9C0041" w:themeColor="accent1" w:themeShade="80"/>
                <w:sz w:val="24"/>
                <w:szCs w:val="24"/>
              </w:rPr>
            </w:pPr>
          </w:p>
        </w:tc>
      </w:tr>
      <w:tr w:rsidR="00BD060A" w:rsidTr="00BD060A">
        <w:trPr>
          <w:cnfStyle w:val="000000100000"/>
        </w:trPr>
        <w:tc>
          <w:tcPr>
            <w:cnfStyle w:val="001000000000"/>
            <w:tcW w:w="8978" w:type="dxa"/>
          </w:tcPr>
          <w:p w:rsidR="00734B60" w:rsidRDefault="00734B60" w:rsidP="00734B60">
            <w:pPr>
              <w:pStyle w:val="NormalWeb"/>
              <w:jc w:val="both"/>
            </w:pPr>
            <w:r>
              <w:rPr>
                <w:rStyle w:val="Textoennegrita"/>
                <w:sz w:val="20"/>
                <w:szCs w:val="20"/>
              </w:rPr>
              <w:t>Sesgos de selección</w:t>
            </w:r>
          </w:p>
          <w:p w:rsidR="00734B60" w:rsidRDefault="00734B60" w:rsidP="00734B60">
            <w:pPr>
              <w:pStyle w:val="NormalWeb"/>
              <w:jc w:val="both"/>
            </w:pPr>
            <w:r>
              <w:rPr>
                <w:sz w:val="20"/>
                <w:szCs w:val="20"/>
              </w:rPr>
              <w:t xml:space="preserve">Son errores sistemáticos que se introducen durante la selección o el seguimiento de la población en estudio y que propician una conclusión equivocada sobre la hipótesis en evaluación. Los errores de selección pueden ser originados por el mismo investigador o ser el resultado de relaciones complejas en la población en estudio que pueden no ser evidentes para el investigador y pasar desapercibidas. En este contexto, una posible fuente de sesgo de selección puede ser cualquier factor que influya sobre la posibilidad de los sujetos seleccionados de participar o permanecer en el estudio y que, además, esté relacionado con la exposición o con el evento en estudio. </w:t>
            </w:r>
          </w:p>
          <w:p w:rsidR="00BD060A" w:rsidRDefault="00BD060A" w:rsidP="00BD060A">
            <w:pPr>
              <w:jc w:val="both"/>
              <w:rPr>
                <w:rFonts w:ascii="Arial" w:hAnsi="Arial" w:cs="Arial"/>
                <w:b w:val="0"/>
                <w:color w:val="9C0041" w:themeColor="accent1" w:themeShade="80"/>
                <w:sz w:val="24"/>
                <w:szCs w:val="24"/>
              </w:rPr>
            </w:pPr>
          </w:p>
        </w:tc>
      </w:tr>
      <w:tr w:rsidR="00BD060A" w:rsidTr="00BD060A">
        <w:trPr>
          <w:cnfStyle w:val="000000010000"/>
        </w:trPr>
        <w:tc>
          <w:tcPr>
            <w:cnfStyle w:val="001000000000"/>
            <w:tcW w:w="8978" w:type="dxa"/>
          </w:tcPr>
          <w:p w:rsidR="00734B60" w:rsidRDefault="00734B60" w:rsidP="00734B60">
            <w:pPr>
              <w:pStyle w:val="NormalWeb"/>
              <w:jc w:val="both"/>
            </w:pPr>
            <w:r>
              <w:rPr>
                <w:b w:val="0"/>
                <w:bCs w:val="0"/>
                <w:sz w:val="20"/>
                <w:szCs w:val="20"/>
              </w:rPr>
              <w:t>Sesgos de información</w:t>
            </w:r>
          </w:p>
          <w:p w:rsidR="00734B60" w:rsidRDefault="00734B60" w:rsidP="00734B60">
            <w:pPr>
              <w:pStyle w:val="NormalWeb"/>
              <w:jc w:val="both"/>
            </w:pPr>
            <w:r>
              <w:rPr>
                <w:sz w:val="20"/>
                <w:szCs w:val="20"/>
              </w:rPr>
              <w:t xml:space="preserve">El sesgo de información se refiere a los errores que se introducen durante la medición de la exposición, de los eventos u otras </w:t>
            </w:r>
            <w:proofErr w:type="spellStart"/>
            <w:r>
              <w:rPr>
                <w:sz w:val="20"/>
                <w:szCs w:val="20"/>
              </w:rPr>
              <w:t>covariables</w:t>
            </w:r>
            <w:proofErr w:type="spellEnd"/>
            <w:r>
              <w:rPr>
                <w:sz w:val="20"/>
                <w:szCs w:val="20"/>
              </w:rPr>
              <w:t xml:space="preserve"> en la población en estudio, que se presentan de manera diferencial entre los grupos que se </w:t>
            </w:r>
            <w:r>
              <w:rPr>
                <w:sz w:val="20"/>
                <w:szCs w:val="20"/>
              </w:rPr>
              <w:lastRenderedPageBreak/>
              <w:t xml:space="preserve">comparan, y que ocasionan una conclusión errónea respecto de la hipótesis que se investiga. Una posible fuente de sesgo de medición puede ser cualquier factor que influya de manera diferencial sobre la calidad de las mediciones que se realizan en los grupos expuesto y no expuesto en el contexto de los estudios de cohorte o entre los casos y controles en el contexto de los estudios de casos y controles. </w:t>
            </w:r>
          </w:p>
          <w:p w:rsidR="00BD060A" w:rsidRDefault="00BD060A" w:rsidP="00BD060A">
            <w:pPr>
              <w:jc w:val="both"/>
              <w:rPr>
                <w:rFonts w:ascii="Arial" w:hAnsi="Arial" w:cs="Arial"/>
                <w:b w:val="0"/>
                <w:color w:val="9C0041" w:themeColor="accent1" w:themeShade="80"/>
                <w:sz w:val="24"/>
                <w:szCs w:val="24"/>
              </w:rPr>
            </w:pPr>
          </w:p>
        </w:tc>
      </w:tr>
      <w:tr w:rsidR="00BD060A" w:rsidTr="00BD060A">
        <w:trPr>
          <w:cnfStyle w:val="000000100000"/>
        </w:trPr>
        <w:tc>
          <w:tcPr>
            <w:cnfStyle w:val="001000000000"/>
            <w:tcW w:w="8978" w:type="dxa"/>
          </w:tcPr>
          <w:p w:rsidR="00734B60" w:rsidRDefault="00734B60" w:rsidP="00734B60">
            <w:pPr>
              <w:pStyle w:val="NormalWeb"/>
              <w:jc w:val="both"/>
            </w:pPr>
            <w:r>
              <w:rPr>
                <w:b w:val="0"/>
                <w:bCs w:val="0"/>
                <w:sz w:val="20"/>
                <w:szCs w:val="20"/>
              </w:rPr>
              <w:lastRenderedPageBreak/>
              <w:t>Sesgos de confusión</w:t>
            </w:r>
          </w:p>
          <w:p w:rsidR="00734B60" w:rsidRDefault="00734B60" w:rsidP="00734B60">
            <w:pPr>
              <w:pStyle w:val="NormalWeb"/>
              <w:jc w:val="both"/>
            </w:pPr>
            <w:r>
              <w:rPr>
                <w:sz w:val="20"/>
                <w:szCs w:val="20"/>
              </w:rPr>
              <w:t xml:space="preserve">Todos los resultados derivados de estudios observacionales están potencialmente influenciados por este tipo de sesgo. El sesgo de confusión puede resultar en </w:t>
            </w:r>
            <w:proofErr w:type="gramStart"/>
            <w:r>
              <w:rPr>
                <w:sz w:val="20"/>
                <w:szCs w:val="20"/>
              </w:rPr>
              <w:t>una</w:t>
            </w:r>
            <w:proofErr w:type="gramEnd"/>
            <w:r>
              <w:rPr>
                <w:sz w:val="20"/>
                <w:szCs w:val="20"/>
              </w:rPr>
              <w:t xml:space="preserve"> sobre o subestimación de la asociación real. Existe sesgo de confusión cuando observamos una asociación no causal entre la exposición y el evento en estudio o cuando no observamos una asociación real entre la exposición y el evento en estudio por la acción de una tercera variable que no es controlada. Esta(s) variable(s) se denomina(n) factor(es) de confusión o </w:t>
            </w:r>
            <w:proofErr w:type="spellStart"/>
            <w:r>
              <w:rPr>
                <w:sz w:val="20"/>
                <w:szCs w:val="20"/>
              </w:rPr>
              <w:t>confusor</w:t>
            </w:r>
            <w:proofErr w:type="spellEnd"/>
            <w:r>
              <w:rPr>
                <w:sz w:val="20"/>
                <w:szCs w:val="20"/>
              </w:rPr>
              <w:t xml:space="preserve">(es). Los resultados de un estudio estarán confundidos cuando los resultados obtenidos en la población en estudio apoyan una conclusión falsa o espuria sobre la hipótesis en evaluación, debido a la influencia de otras variables, que no fueron controladas adecuadamente ya sea durante la fase de diseño o de análisis. </w:t>
            </w:r>
          </w:p>
          <w:p w:rsidR="00BD060A" w:rsidRDefault="00BD060A" w:rsidP="00BD060A">
            <w:pPr>
              <w:jc w:val="both"/>
              <w:rPr>
                <w:rFonts w:ascii="Arial" w:hAnsi="Arial" w:cs="Arial"/>
                <w:b w:val="0"/>
                <w:color w:val="9C0041" w:themeColor="accent1" w:themeShade="80"/>
                <w:sz w:val="24"/>
                <w:szCs w:val="24"/>
              </w:rPr>
            </w:pPr>
          </w:p>
        </w:tc>
      </w:tr>
    </w:tbl>
    <w:p w:rsidR="00BD060A" w:rsidRDefault="00BD060A" w:rsidP="00BD060A">
      <w:pPr>
        <w:jc w:val="both"/>
        <w:rPr>
          <w:rFonts w:ascii="Arial" w:hAnsi="Arial" w:cs="Arial"/>
          <w:b/>
          <w:color w:val="9C0041" w:themeColor="accent1" w:themeShade="80"/>
          <w:sz w:val="24"/>
          <w:szCs w:val="24"/>
        </w:rPr>
      </w:pPr>
    </w:p>
    <w:p w:rsidR="00734B60" w:rsidRPr="00BD060A" w:rsidRDefault="00734B60" w:rsidP="00BD060A">
      <w:pPr>
        <w:jc w:val="both"/>
        <w:rPr>
          <w:rFonts w:ascii="Arial" w:hAnsi="Arial" w:cs="Arial"/>
          <w:b/>
          <w:color w:val="9C0041" w:themeColor="accent1" w:themeShade="80"/>
          <w:sz w:val="24"/>
          <w:szCs w:val="24"/>
        </w:rPr>
      </w:pPr>
    </w:p>
    <w:sectPr w:rsidR="00734B60" w:rsidRPr="00BD060A" w:rsidSect="00BD060A">
      <w:pgSz w:w="12240" w:h="15840"/>
      <w:pgMar w:top="1417" w:right="1701" w:bottom="1417"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5FC8"/>
    <w:rsid w:val="00002BF7"/>
    <w:rsid w:val="000055CD"/>
    <w:rsid w:val="00006BE7"/>
    <w:rsid w:val="00007975"/>
    <w:rsid w:val="0003338C"/>
    <w:rsid w:val="00046A9E"/>
    <w:rsid w:val="000475C5"/>
    <w:rsid w:val="000610A6"/>
    <w:rsid w:val="000655DF"/>
    <w:rsid w:val="00070178"/>
    <w:rsid w:val="0007246D"/>
    <w:rsid w:val="00080478"/>
    <w:rsid w:val="00087197"/>
    <w:rsid w:val="0009438F"/>
    <w:rsid w:val="000A1411"/>
    <w:rsid w:val="000A6443"/>
    <w:rsid w:val="000C0AD9"/>
    <w:rsid w:val="000C1991"/>
    <w:rsid w:val="000C40FA"/>
    <w:rsid w:val="000D59C6"/>
    <w:rsid w:val="000E0FAD"/>
    <w:rsid w:val="000E1FB6"/>
    <w:rsid w:val="000F1457"/>
    <w:rsid w:val="000F3395"/>
    <w:rsid w:val="0011124D"/>
    <w:rsid w:val="00115FC8"/>
    <w:rsid w:val="00121E2C"/>
    <w:rsid w:val="00133F28"/>
    <w:rsid w:val="00141DA8"/>
    <w:rsid w:val="00156579"/>
    <w:rsid w:val="001720E7"/>
    <w:rsid w:val="00180EB0"/>
    <w:rsid w:val="00181E06"/>
    <w:rsid w:val="0018408C"/>
    <w:rsid w:val="00191720"/>
    <w:rsid w:val="00192EBB"/>
    <w:rsid w:val="001A3D73"/>
    <w:rsid w:val="001A70C5"/>
    <w:rsid w:val="001C630F"/>
    <w:rsid w:val="001D6D8E"/>
    <w:rsid w:val="001E148E"/>
    <w:rsid w:val="001E45A0"/>
    <w:rsid w:val="001F08CA"/>
    <w:rsid w:val="001F1E47"/>
    <w:rsid w:val="001F49A8"/>
    <w:rsid w:val="00217D99"/>
    <w:rsid w:val="0023690E"/>
    <w:rsid w:val="00247B44"/>
    <w:rsid w:val="002716C0"/>
    <w:rsid w:val="002826B5"/>
    <w:rsid w:val="00283DC8"/>
    <w:rsid w:val="00287A1C"/>
    <w:rsid w:val="00293D1D"/>
    <w:rsid w:val="002B0DE6"/>
    <w:rsid w:val="002B19FF"/>
    <w:rsid w:val="002B453E"/>
    <w:rsid w:val="002B517B"/>
    <w:rsid w:val="002C1D30"/>
    <w:rsid w:val="002C69E9"/>
    <w:rsid w:val="002D15B9"/>
    <w:rsid w:val="002E3118"/>
    <w:rsid w:val="002E457A"/>
    <w:rsid w:val="002F1665"/>
    <w:rsid w:val="0031464A"/>
    <w:rsid w:val="0033461E"/>
    <w:rsid w:val="00335835"/>
    <w:rsid w:val="003407BF"/>
    <w:rsid w:val="00341777"/>
    <w:rsid w:val="00345ADA"/>
    <w:rsid w:val="00350AFA"/>
    <w:rsid w:val="003579C9"/>
    <w:rsid w:val="00361E92"/>
    <w:rsid w:val="00396153"/>
    <w:rsid w:val="003A38EE"/>
    <w:rsid w:val="003A7384"/>
    <w:rsid w:val="003B112D"/>
    <w:rsid w:val="003D0338"/>
    <w:rsid w:val="003D6356"/>
    <w:rsid w:val="00410AE0"/>
    <w:rsid w:val="00414703"/>
    <w:rsid w:val="00416796"/>
    <w:rsid w:val="00417966"/>
    <w:rsid w:val="0042034F"/>
    <w:rsid w:val="00432A1C"/>
    <w:rsid w:val="00456969"/>
    <w:rsid w:val="00463FE3"/>
    <w:rsid w:val="00467BB0"/>
    <w:rsid w:val="004744DE"/>
    <w:rsid w:val="004832C2"/>
    <w:rsid w:val="004B6C67"/>
    <w:rsid w:val="004C1F92"/>
    <w:rsid w:val="004D5AD5"/>
    <w:rsid w:val="004F1CFC"/>
    <w:rsid w:val="004F6231"/>
    <w:rsid w:val="0050133C"/>
    <w:rsid w:val="005022FD"/>
    <w:rsid w:val="00515A9E"/>
    <w:rsid w:val="00522EB9"/>
    <w:rsid w:val="00525D57"/>
    <w:rsid w:val="005319F2"/>
    <w:rsid w:val="00534CB0"/>
    <w:rsid w:val="00536CF9"/>
    <w:rsid w:val="005452EC"/>
    <w:rsid w:val="00560355"/>
    <w:rsid w:val="005B0C22"/>
    <w:rsid w:val="005E4ACF"/>
    <w:rsid w:val="00632EC0"/>
    <w:rsid w:val="00633596"/>
    <w:rsid w:val="0065367B"/>
    <w:rsid w:val="0065513C"/>
    <w:rsid w:val="0066354D"/>
    <w:rsid w:val="006649F6"/>
    <w:rsid w:val="0067346C"/>
    <w:rsid w:val="00694A7F"/>
    <w:rsid w:val="006A062C"/>
    <w:rsid w:val="006B013C"/>
    <w:rsid w:val="006C05E6"/>
    <w:rsid w:val="006C18EC"/>
    <w:rsid w:val="006D61C0"/>
    <w:rsid w:val="006E1C74"/>
    <w:rsid w:val="006E40D9"/>
    <w:rsid w:val="006F11F0"/>
    <w:rsid w:val="006F2FC5"/>
    <w:rsid w:val="00705561"/>
    <w:rsid w:val="0071548F"/>
    <w:rsid w:val="00716C0D"/>
    <w:rsid w:val="007243BC"/>
    <w:rsid w:val="00734B60"/>
    <w:rsid w:val="00754764"/>
    <w:rsid w:val="007652FD"/>
    <w:rsid w:val="0078114C"/>
    <w:rsid w:val="00782E69"/>
    <w:rsid w:val="007856BC"/>
    <w:rsid w:val="007875B2"/>
    <w:rsid w:val="007A0FCD"/>
    <w:rsid w:val="007A13E8"/>
    <w:rsid w:val="007A33E6"/>
    <w:rsid w:val="007B4F42"/>
    <w:rsid w:val="007C56DC"/>
    <w:rsid w:val="007E6BD3"/>
    <w:rsid w:val="007F1EF4"/>
    <w:rsid w:val="00800837"/>
    <w:rsid w:val="008030B8"/>
    <w:rsid w:val="0080787A"/>
    <w:rsid w:val="00824C1A"/>
    <w:rsid w:val="00835D0F"/>
    <w:rsid w:val="0083705F"/>
    <w:rsid w:val="00867DFC"/>
    <w:rsid w:val="00884CE9"/>
    <w:rsid w:val="008955B3"/>
    <w:rsid w:val="008A48E1"/>
    <w:rsid w:val="008B09B9"/>
    <w:rsid w:val="008B3C70"/>
    <w:rsid w:val="008B5C60"/>
    <w:rsid w:val="008C50B2"/>
    <w:rsid w:val="008F0C9C"/>
    <w:rsid w:val="008F5DED"/>
    <w:rsid w:val="00900CA0"/>
    <w:rsid w:val="00903DEE"/>
    <w:rsid w:val="00925324"/>
    <w:rsid w:val="0093010A"/>
    <w:rsid w:val="00933973"/>
    <w:rsid w:val="009355E4"/>
    <w:rsid w:val="00940008"/>
    <w:rsid w:val="009471AD"/>
    <w:rsid w:val="0094776D"/>
    <w:rsid w:val="00964AD3"/>
    <w:rsid w:val="00981F0B"/>
    <w:rsid w:val="00996628"/>
    <w:rsid w:val="009A6081"/>
    <w:rsid w:val="009A67FF"/>
    <w:rsid w:val="009B074A"/>
    <w:rsid w:val="009B7453"/>
    <w:rsid w:val="009C53FD"/>
    <w:rsid w:val="009D23A4"/>
    <w:rsid w:val="009E4D5A"/>
    <w:rsid w:val="009E5AD7"/>
    <w:rsid w:val="009F7A6D"/>
    <w:rsid w:val="00A16F58"/>
    <w:rsid w:val="00A2155C"/>
    <w:rsid w:val="00A2793D"/>
    <w:rsid w:val="00A3127B"/>
    <w:rsid w:val="00A501C6"/>
    <w:rsid w:val="00A63B6F"/>
    <w:rsid w:val="00A66AA1"/>
    <w:rsid w:val="00A67A06"/>
    <w:rsid w:val="00A7003C"/>
    <w:rsid w:val="00A8225D"/>
    <w:rsid w:val="00A82D96"/>
    <w:rsid w:val="00A83A34"/>
    <w:rsid w:val="00AA48E5"/>
    <w:rsid w:val="00AB1B81"/>
    <w:rsid w:val="00AB61F9"/>
    <w:rsid w:val="00AB6AE2"/>
    <w:rsid w:val="00AB6E5A"/>
    <w:rsid w:val="00AC1562"/>
    <w:rsid w:val="00AE149D"/>
    <w:rsid w:val="00AE15B6"/>
    <w:rsid w:val="00AE3A41"/>
    <w:rsid w:val="00AF14C9"/>
    <w:rsid w:val="00AF3600"/>
    <w:rsid w:val="00AF533A"/>
    <w:rsid w:val="00B158FC"/>
    <w:rsid w:val="00B342A1"/>
    <w:rsid w:val="00B50DDA"/>
    <w:rsid w:val="00B56852"/>
    <w:rsid w:val="00B60D4A"/>
    <w:rsid w:val="00B72CA8"/>
    <w:rsid w:val="00B96285"/>
    <w:rsid w:val="00BA09FF"/>
    <w:rsid w:val="00BA146F"/>
    <w:rsid w:val="00BA1DCF"/>
    <w:rsid w:val="00BA4AF3"/>
    <w:rsid w:val="00BB6C20"/>
    <w:rsid w:val="00BB74DA"/>
    <w:rsid w:val="00BC0A41"/>
    <w:rsid w:val="00BC1DAA"/>
    <w:rsid w:val="00BC206A"/>
    <w:rsid w:val="00BC7402"/>
    <w:rsid w:val="00BD0228"/>
    <w:rsid w:val="00BD060A"/>
    <w:rsid w:val="00BD17E3"/>
    <w:rsid w:val="00BF6F12"/>
    <w:rsid w:val="00C028F6"/>
    <w:rsid w:val="00C141FA"/>
    <w:rsid w:val="00C25891"/>
    <w:rsid w:val="00C31845"/>
    <w:rsid w:val="00C37A1E"/>
    <w:rsid w:val="00C45FB4"/>
    <w:rsid w:val="00C72883"/>
    <w:rsid w:val="00C96A1B"/>
    <w:rsid w:val="00CB4C0E"/>
    <w:rsid w:val="00CC3EF8"/>
    <w:rsid w:val="00CD3FEE"/>
    <w:rsid w:val="00CD75FB"/>
    <w:rsid w:val="00D07AC0"/>
    <w:rsid w:val="00D2441B"/>
    <w:rsid w:val="00D32276"/>
    <w:rsid w:val="00D43C6F"/>
    <w:rsid w:val="00D60054"/>
    <w:rsid w:val="00D64B2A"/>
    <w:rsid w:val="00D77383"/>
    <w:rsid w:val="00D84049"/>
    <w:rsid w:val="00D86E17"/>
    <w:rsid w:val="00D90069"/>
    <w:rsid w:val="00D96DE0"/>
    <w:rsid w:val="00DA5CF0"/>
    <w:rsid w:val="00DB0D91"/>
    <w:rsid w:val="00DB2DAD"/>
    <w:rsid w:val="00DB7DF7"/>
    <w:rsid w:val="00DD52FA"/>
    <w:rsid w:val="00DF6886"/>
    <w:rsid w:val="00E005BB"/>
    <w:rsid w:val="00E16878"/>
    <w:rsid w:val="00E202F6"/>
    <w:rsid w:val="00E26993"/>
    <w:rsid w:val="00E30C6D"/>
    <w:rsid w:val="00E36A67"/>
    <w:rsid w:val="00E534F5"/>
    <w:rsid w:val="00E850E3"/>
    <w:rsid w:val="00EA0181"/>
    <w:rsid w:val="00EA211E"/>
    <w:rsid w:val="00EA2AC4"/>
    <w:rsid w:val="00EA6FCC"/>
    <w:rsid w:val="00EB4532"/>
    <w:rsid w:val="00EB4896"/>
    <w:rsid w:val="00EC7857"/>
    <w:rsid w:val="00ED2FD9"/>
    <w:rsid w:val="00EE1E0B"/>
    <w:rsid w:val="00EE3E98"/>
    <w:rsid w:val="00F0145B"/>
    <w:rsid w:val="00F06E83"/>
    <w:rsid w:val="00F43E75"/>
    <w:rsid w:val="00F46294"/>
    <w:rsid w:val="00F62072"/>
    <w:rsid w:val="00F75CC0"/>
    <w:rsid w:val="00F80651"/>
    <w:rsid w:val="00F86044"/>
    <w:rsid w:val="00FC19D1"/>
    <w:rsid w:val="00FC717D"/>
    <w:rsid w:val="00FD74D8"/>
    <w:rsid w:val="00FF0FDF"/>
    <w:rsid w:val="00FF64E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1D"/>
  </w:style>
  <w:style w:type="paragraph" w:styleId="Ttulo1">
    <w:name w:val="heading 1"/>
    <w:basedOn w:val="Normal"/>
    <w:next w:val="Normal"/>
    <w:link w:val="Ttulo1Car"/>
    <w:uiPriority w:val="9"/>
    <w:qFormat/>
    <w:rsid w:val="00115FC8"/>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5FC8"/>
    <w:rPr>
      <w:rFonts w:asciiTheme="majorHAnsi" w:eastAsiaTheme="majorEastAsia" w:hAnsiTheme="majorHAnsi" w:cstheme="majorBidi"/>
      <w:b/>
      <w:bCs/>
      <w:color w:val="E80061" w:themeColor="accent1" w:themeShade="BF"/>
      <w:sz w:val="28"/>
      <w:szCs w:val="28"/>
    </w:rPr>
  </w:style>
  <w:style w:type="paragraph" w:styleId="Textodeglobo">
    <w:name w:val="Balloon Text"/>
    <w:basedOn w:val="Normal"/>
    <w:link w:val="TextodegloboCar"/>
    <w:uiPriority w:val="99"/>
    <w:semiHidden/>
    <w:unhideWhenUsed/>
    <w:rsid w:val="00BD06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60A"/>
    <w:rPr>
      <w:rFonts w:ascii="Tahoma" w:hAnsi="Tahoma" w:cs="Tahoma"/>
      <w:sz w:val="16"/>
      <w:szCs w:val="16"/>
    </w:rPr>
  </w:style>
  <w:style w:type="paragraph" w:customStyle="1" w:styleId="Default">
    <w:name w:val="Default"/>
    <w:rsid w:val="00BD060A"/>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BD0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5">
    <w:name w:val="Light Shading Accent 5"/>
    <w:basedOn w:val="Tablanormal"/>
    <w:uiPriority w:val="60"/>
    <w:rsid w:val="00BD060A"/>
    <w:pPr>
      <w:spacing w:after="0" w:line="240" w:lineRule="auto"/>
    </w:pPr>
    <w:rPr>
      <w:color w:val="00439E" w:themeColor="accent5" w:themeShade="BF"/>
    </w:rPr>
    <w:tblPr>
      <w:tblStyleRowBandSize w:val="1"/>
      <w:tblStyleColBandSize w:val="1"/>
      <w:tblInd w:w="0" w:type="dxa"/>
      <w:tblBorders>
        <w:top w:val="single" w:sz="8" w:space="0" w:color="005BD3" w:themeColor="accent5"/>
        <w:bottom w:val="single" w:sz="8" w:space="0" w:color="005BD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la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4FF" w:themeFill="accent5" w:themeFillTint="3F"/>
      </w:tcPr>
    </w:tblStylePr>
    <w:tblStylePr w:type="band1Horz">
      <w:tblPr/>
      <w:tcPr>
        <w:tcBorders>
          <w:left w:val="nil"/>
          <w:right w:val="nil"/>
          <w:insideH w:val="nil"/>
          <w:insideV w:val="nil"/>
        </w:tcBorders>
        <w:shd w:val="clear" w:color="auto" w:fill="B5D4FF" w:themeFill="accent5" w:themeFillTint="3F"/>
      </w:tcPr>
    </w:tblStylePr>
  </w:style>
  <w:style w:type="table" w:styleId="Sombreadomedio1-nfasis3">
    <w:name w:val="Medium Shading 1 Accent 3"/>
    <w:basedOn w:val="Tablanormal"/>
    <w:uiPriority w:val="63"/>
    <w:rsid w:val="00BD060A"/>
    <w:pPr>
      <w:spacing w:after="0" w:line="240" w:lineRule="auto"/>
    </w:pPr>
    <w:tblPr>
      <w:tblStyleRowBandSize w:val="1"/>
      <w:tblStyleColBandSize w:val="1"/>
      <w:tblInd w:w="0" w:type="dxa"/>
      <w:tblBorders>
        <w:top w:val="single" w:sz="8" w:space="0" w:color="F400C6" w:themeColor="accent3" w:themeTint="BF"/>
        <w:left w:val="single" w:sz="8" w:space="0" w:color="F400C6" w:themeColor="accent3" w:themeTint="BF"/>
        <w:bottom w:val="single" w:sz="8" w:space="0" w:color="F400C6" w:themeColor="accent3" w:themeTint="BF"/>
        <w:right w:val="single" w:sz="8" w:space="0" w:color="F400C6" w:themeColor="accent3" w:themeTint="BF"/>
        <w:insideH w:val="single" w:sz="8" w:space="0" w:color="F400C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400C6" w:themeColor="accent3" w:themeTint="BF"/>
          <w:left w:val="single" w:sz="8" w:space="0" w:color="F400C6" w:themeColor="accent3" w:themeTint="BF"/>
          <w:bottom w:val="single" w:sz="8" w:space="0" w:color="F400C6" w:themeColor="accent3" w:themeTint="BF"/>
          <w:right w:val="single" w:sz="8" w:space="0" w:color="F400C6" w:themeColor="accent3" w:themeTint="BF"/>
          <w:insideH w:val="nil"/>
          <w:insideV w:val="nil"/>
        </w:tcBorders>
        <w:shd w:val="clear" w:color="auto" w:fill="9C007F" w:themeFill="accent3"/>
      </w:tcPr>
    </w:tblStylePr>
    <w:tblStylePr w:type="lastRow">
      <w:pPr>
        <w:spacing w:before="0" w:after="0" w:line="240" w:lineRule="auto"/>
      </w:pPr>
      <w:rPr>
        <w:b/>
        <w:bCs/>
      </w:rPr>
      <w:tblPr/>
      <w:tcPr>
        <w:tcBorders>
          <w:top w:val="double" w:sz="6" w:space="0" w:color="F400C6" w:themeColor="accent3" w:themeTint="BF"/>
          <w:left w:val="single" w:sz="8" w:space="0" w:color="F400C6" w:themeColor="accent3" w:themeTint="BF"/>
          <w:bottom w:val="single" w:sz="8" w:space="0" w:color="F400C6" w:themeColor="accent3" w:themeTint="BF"/>
          <w:right w:val="single" w:sz="8" w:space="0" w:color="F400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7EE" w:themeFill="accent3" w:themeFillTint="3F"/>
      </w:tcPr>
    </w:tblStylePr>
    <w:tblStylePr w:type="band1Horz">
      <w:tblPr/>
      <w:tcPr>
        <w:tcBorders>
          <w:insideH w:val="nil"/>
          <w:insideV w:val="nil"/>
        </w:tcBorders>
        <w:shd w:val="clear" w:color="auto" w:fill="FFA7EE" w:themeFill="accent3" w:themeFillTint="3F"/>
      </w:tcPr>
    </w:tblStylePr>
    <w:tblStylePr w:type="band2Horz">
      <w:tblPr/>
      <w:tcPr>
        <w:tcBorders>
          <w:insideH w:val="nil"/>
          <w:insideV w:val="nil"/>
        </w:tcBorders>
      </w:tcPr>
    </w:tblStylePr>
  </w:style>
  <w:style w:type="character" w:styleId="Textoennegrita">
    <w:name w:val="Strong"/>
    <w:basedOn w:val="Fuentedeprrafopredeter"/>
    <w:uiPriority w:val="22"/>
    <w:qFormat/>
    <w:rsid w:val="00734B60"/>
    <w:rPr>
      <w:b/>
      <w:bCs/>
    </w:rPr>
  </w:style>
  <w:style w:type="paragraph" w:styleId="NormalWeb">
    <w:name w:val="Normal (Web)"/>
    <w:basedOn w:val="Normal"/>
    <w:uiPriority w:val="99"/>
    <w:semiHidden/>
    <w:unhideWhenUsed/>
    <w:rsid w:val="00734B60"/>
    <w:pPr>
      <w:spacing w:before="100" w:beforeAutospacing="1" w:after="100" w:afterAutospacing="1" w:line="240" w:lineRule="auto"/>
    </w:pPr>
    <w:rPr>
      <w:rFonts w:ascii="Verdana" w:eastAsia="Times New Roman" w:hAnsi="Verdana" w:cs="Times New Roman"/>
      <w:sz w:val="18"/>
      <w:szCs w:val="18"/>
      <w:lang w:eastAsia="es-MX"/>
    </w:rPr>
  </w:style>
</w:styles>
</file>

<file path=word/webSettings.xml><?xml version="1.0" encoding="utf-8"?>
<w:webSettings xmlns:r="http://schemas.openxmlformats.org/officeDocument/2006/relationships" xmlns:w="http://schemas.openxmlformats.org/wordprocessingml/2006/main">
  <w:divs>
    <w:div w:id="276717594">
      <w:bodyDiv w:val="1"/>
      <w:marLeft w:val="0"/>
      <w:marRight w:val="0"/>
      <w:marTop w:val="0"/>
      <w:marBottom w:val="0"/>
      <w:divBdr>
        <w:top w:val="none" w:sz="0" w:space="0" w:color="auto"/>
        <w:left w:val="none" w:sz="0" w:space="0" w:color="auto"/>
        <w:bottom w:val="none" w:sz="0" w:space="0" w:color="auto"/>
        <w:right w:val="none" w:sz="0" w:space="0" w:color="auto"/>
      </w:divBdr>
      <w:divsChild>
        <w:div w:id="1579097270">
          <w:marLeft w:val="0"/>
          <w:marRight w:val="0"/>
          <w:marTop w:val="0"/>
          <w:marBottom w:val="0"/>
          <w:divBdr>
            <w:top w:val="none" w:sz="0" w:space="0" w:color="auto"/>
            <w:left w:val="none" w:sz="0" w:space="0" w:color="auto"/>
            <w:bottom w:val="none" w:sz="0" w:space="0" w:color="auto"/>
            <w:right w:val="none" w:sz="0" w:space="0" w:color="auto"/>
          </w:divBdr>
          <w:divsChild>
            <w:div w:id="11525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9016">
      <w:bodyDiv w:val="1"/>
      <w:marLeft w:val="0"/>
      <w:marRight w:val="0"/>
      <w:marTop w:val="0"/>
      <w:marBottom w:val="0"/>
      <w:divBdr>
        <w:top w:val="none" w:sz="0" w:space="0" w:color="auto"/>
        <w:left w:val="none" w:sz="0" w:space="0" w:color="auto"/>
        <w:bottom w:val="none" w:sz="0" w:space="0" w:color="auto"/>
        <w:right w:val="none" w:sz="0" w:space="0" w:color="auto"/>
      </w:divBdr>
      <w:divsChild>
        <w:div w:id="967393634">
          <w:marLeft w:val="0"/>
          <w:marRight w:val="0"/>
          <w:marTop w:val="0"/>
          <w:marBottom w:val="0"/>
          <w:divBdr>
            <w:top w:val="none" w:sz="0" w:space="0" w:color="auto"/>
            <w:left w:val="none" w:sz="0" w:space="0" w:color="auto"/>
            <w:bottom w:val="none" w:sz="0" w:space="0" w:color="auto"/>
            <w:right w:val="none" w:sz="0" w:space="0" w:color="auto"/>
          </w:divBdr>
          <w:divsChild>
            <w:div w:id="13841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974">
      <w:bodyDiv w:val="1"/>
      <w:marLeft w:val="0"/>
      <w:marRight w:val="0"/>
      <w:marTop w:val="0"/>
      <w:marBottom w:val="0"/>
      <w:divBdr>
        <w:top w:val="none" w:sz="0" w:space="0" w:color="auto"/>
        <w:left w:val="none" w:sz="0" w:space="0" w:color="auto"/>
        <w:bottom w:val="none" w:sz="0" w:space="0" w:color="auto"/>
        <w:right w:val="none" w:sz="0" w:space="0" w:color="auto"/>
      </w:divBdr>
      <w:divsChild>
        <w:div w:id="1385300034">
          <w:marLeft w:val="0"/>
          <w:marRight w:val="0"/>
          <w:marTop w:val="0"/>
          <w:marBottom w:val="0"/>
          <w:divBdr>
            <w:top w:val="none" w:sz="0" w:space="0" w:color="auto"/>
            <w:left w:val="none" w:sz="0" w:space="0" w:color="auto"/>
            <w:bottom w:val="none" w:sz="0" w:space="0" w:color="auto"/>
            <w:right w:val="none" w:sz="0" w:space="0" w:color="auto"/>
          </w:divBdr>
          <w:divsChild>
            <w:div w:id="16105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j7RPg2Lt5dE/Swb0WhvlxjI/AAAAAAAAAAU/EhJe7UI-L9A/s1600/medicina_basada_en_evidencia.gif"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randsoftheworld.com/logo/lamar-universidad?original=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7">
      <a:dk1>
        <a:sysClr val="windowText" lastClr="000000"/>
      </a:dk1>
      <a:lt1>
        <a:sysClr val="window" lastClr="FFFFFF"/>
      </a:lt1>
      <a:dk2>
        <a:srgbClr val="666666"/>
      </a:dk2>
      <a:lt2>
        <a:srgbClr val="E9006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807C-EFFC-4C43-B55F-3594ADD7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2010-01-19T15:26:00Z</dcterms:created>
  <dcterms:modified xsi:type="dcterms:W3CDTF">2010-01-19T15:26:00Z</dcterms:modified>
</cp:coreProperties>
</file>