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C" w:rsidRPr="00C02E2C" w:rsidRDefault="00C02E2C" w:rsidP="00C02E2C">
      <w:pPr>
        <w:jc w:val="center"/>
        <w:rPr>
          <w:rFonts w:ascii="Arial" w:hAnsi="Arial" w:cs="Aharoni"/>
          <w:b/>
          <w:bCs/>
          <w:caps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haroni"/>
          <w:b/>
          <w:bCs/>
          <w:caps/>
          <w:noProof/>
          <w:color w:val="002060"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281305</wp:posOffset>
            </wp:positionV>
            <wp:extent cx="3291205" cy="3276600"/>
            <wp:effectExtent l="19050" t="0" r="4445" b="0"/>
            <wp:wrapNone/>
            <wp:docPr id="2" name="Imagen 1" descr="http://www.seeklogo.com/images/L/Lamar_Guadalajara-logo-85D1DCCF23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klogo.com/images/L/Lamar_Guadalajara-logo-85D1DCCF23-seeklogo.co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E2C" w:rsidRPr="00C02E2C" w:rsidRDefault="00C02E2C" w:rsidP="00C02E2C">
      <w:pPr>
        <w:jc w:val="center"/>
        <w:rPr>
          <w:rFonts w:ascii="Arial" w:hAnsi="Arial" w:cs="Aharoni"/>
          <w:b/>
          <w:bCs/>
          <w:caps/>
          <w:color w:val="002060"/>
          <w:sz w:val="32"/>
          <w:szCs w:val="32"/>
          <w:shd w:val="clear" w:color="auto" w:fill="FFFFFF"/>
        </w:rPr>
      </w:pPr>
      <w:r w:rsidRPr="00C02E2C">
        <w:rPr>
          <w:rFonts w:ascii="Arial" w:hAnsi="Arial" w:cs="Aharoni"/>
          <w:b/>
          <w:bCs/>
          <w:caps/>
          <w:color w:val="002060"/>
          <w:sz w:val="32"/>
          <w:szCs w:val="32"/>
          <w:shd w:val="clear" w:color="auto" w:fill="FFFFFF"/>
        </w:rPr>
        <w:t xml:space="preserve">universidad guadalajara lamar </w:t>
      </w: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sz w:val="20"/>
          <w:szCs w:val="20"/>
          <w:shd w:val="clear" w:color="auto" w:fill="FFFFFF"/>
        </w:rPr>
      </w:pPr>
    </w:p>
    <w:p w:rsidR="00C02E2C" w:rsidRP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</w:p>
    <w:p w:rsidR="00C02E2C" w:rsidRPr="00C02E2C" w:rsidRDefault="00C02E2C" w:rsidP="00C02E2C">
      <w:pPr>
        <w:jc w:val="center"/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</w:pPr>
      <w:r w:rsidRPr="00C02E2C"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  <w:t>ACTIVIDAD PRELIMINAR </w:t>
      </w:r>
    </w:p>
    <w:p w:rsidR="00C02E2C" w:rsidRPr="00C02E2C" w:rsidRDefault="00C02E2C" w:rsidP="00C02E2C">
      <w:pPr>
        <w:jc w:val="center"/>
        <w:rPr>
          <w:rFonts w:ascii="Arial" w:hAnsi="Arial" w:cs="Aharoni"/>
          <w:b/>
          <w:color w:val="E36C0A" w:themeColor="accent6" w:themeShade="BF"/>
          <w:sz w:val="32"/>
          <w:szCs w:val="32"/>
        </w:rPr>
      </w:pPr>
      <w:r w:rsidRPr="00C02E2C">
        <w:rPr>
          <w:rFonts w:ascii="Arial" w:hAnsi="Arial" w:cs="Aharoni"/>
          <w:b/>
          <w:bCs/>
          <w:caps/>
          <w:color w:val="E36C0A" w:themeColor="accent6" w:themeShade="BF"/>
          <w:sz w:val="32"/>
          <w:szCs w:val="32"/>
          <w:shd w:val="clear" w:color="auto" w:fill="FFFFFF"/>
        </w:rPr>
        <w:t>"CONCEPTOS DE EPIDEMIOLOGIA CLÍNICA"</w:t>
      </w:r>
      <w:bookmarkStart w:id="0" w:name="_GoBack"/>
      <w:bookmarkEnd w:id="0"/>
    </w:p>
    <w:p w:rsidR="00135A20" w:rsidRDefault="00135A20" w:rsidP="00C02E2C">
      <w:pPr>
        <w:jc w:val="center"/>
      </w:pPr>
    </w:p>
    <w:p w:rsidR="00C02E2C" w:rsidRDefault="00C02E2C" w:rsidP="00C02E2C">
      <w:pPr>
        <w:jc w:val="center"/>
      </w:pPr>
    </w:p>
    <w:p w:rsidR="00C02E2C" w:rsidRDefault="00C02E2C" w:rsidP="00C02E2C">
      <w:pPr>
        <w:jc w:val="center"/>
      </w:pPr>
    </w:p>
    <w:p w:rsidR="00C02E2C" w:rsidRDefault="00C02E2C" w:rsidP="00C02E2C">
      <w:pPr>
        <w:jc w:val="center"/>
      </w:pPr>
    </w:p>
    <w:p w:rsidR="00C02E2C" w:rsidRDefault="00C02E2C" w:rsidP="00C02E2C">
      <w:pPr>
        <w:jc w:val="center"/>
      </w:pPr>
    </w:p>
    <w:p w:rsidR="00C02E2C" w:rsidRPr="00C02E2C" w:rsidRDefault="00C02E2C" w:rsidP="00C02E2C">
      <w:pPr>
        <w:jc w:val="center"/>
        <w:rPr>
          <w:b/>
          <w:color w:val="002060"/>
          <w:sz w:val="32"/>
          <w:szCs w:val="32"/>
        </w:rPr>
      </w:pPr>
      <w:r w:rsidRPr="00C02E2C">
        <w:rPr>
          <w:b/>
          <w:color w:val="002060"/>
          <w:sz w:val="32"/>
          <w:szCs w:val="32"/>
        </w:rPr>
        <w:t xml:space="preserve">Medicina basada en evidencias </w:t>
      </w:r>
    </w:p>
    <w:p w:rsidR="00C02E2C" w:rsidRPr="00C02E2C" w:rsidRDefault="00C02E2C" w:rsidP="00C02E2C">
      <w:pPr>
        <w:jc w:val="center"/>
        <w:rPr>
          <w:b/>
          <w:color w:val="002060"/>
          <w:sz w:val="32"/>
          <w:szCs w:val="32"/>
        </w:rPr>
      </w:pPr>
      <w:proofErr w:type="spellStart"/>
      <w:r w:rsidRPr="00C02E2C">
        <w:rPr>
          <w:b/>
          <w:color w:val="002060"/>
          <w:sz w:val="32"/>
          <w:szCs w:val="32"/>
        </w:rPr>
        <w:t>Samantha</w:t>
      </w:r>
      <w:proofErr w:type="spellEnd"/>
      <w:r w:rsidRPr="00C02E2C">
        <w:rPr>
          <w:b/>
          <w:color w:val="002060"/>
          <w:sz w:val="32"/>
          <w:szCs w:val="32"/>
        </w:rPr>
        <w:t xml:space="preserve"> </w:t>
      </w:r>
      <w:proofErr w:type="spellStart"/>
      <w:r w:rsidRPr="00C02E2C">
        <w:rPr>
          <w:b/>
          <w:color w:val="002060"/>
          <w:sz w:val="32"/>
          <w:szCs w:val="32"/>
        </w:rPr>
        <w:t>davila</w:t>
      </w:r>
      <w:proofErr w:type="spellEnd"/>
      <w:r w:rsidRPr="00C02E2C">
        <w:rPr>
          <w:b/>
          <w:color w:val="002060"/>
          <w:sz w:val="32"/>
          <w:szCs w:val="32"/>
        </w:rPr>
        <w:t xml:space="preserve"> </w:t>
      </w:r>
      <w:proofErr w:type="spellStart"/>
      <w:r w:rsidRPr="00C02E2C">
        <w:rPr>
          <w:b/>
          <w:color w:val="002060"/>
          <w:sz w:val="32"/>
          <w:szCs w:val="32"/>
        </w:rPr>
        <w:t>mendez</w:t>
      </w:r>
      <w:proofErr w:type="spellEnd"/>
      <w:r w:rsidRPr="00C02E2C">
        <w:rPr>
          <w:b/>
          <w:color w:val="002060"/>
          <w:sz w:val="32"/>
          <w:szCs w:val="32"/>
        </w:rPr>
        <w:t xml:space="preserve"> </w:t>
      </w:r>
    </w:p>
    <w:p w:rsidR="00C02E2C" w:rsidRDefault="00C02E2C" w:rsidP="00C02E2C">
      <w:pPr>
        <w:jc w:val="center"/>
        <w:rPr>
          <w:b/>
          <w:color w:val="002060"/>
          <w:sz w:val="32"/>
          <w:szCs w:val="32"/>
        </w:rPr>
      </w:pPr>
      <w:r w:rsidRPr="00C02E2C">
        <w:rPr>
          <w:b/>
          <w:color w:val="002060"/>
          <w:sz w:val="32"/>
          <w:szCs w:val="32"/>
        </w:rPr>
        <w:t xml:space="preserve">LME 3254 </w:t>
      </w:r>
    </w:p>
    <w:p w:rsidR="00C02E2C" w:rsidRDefault="00C02E2C" w:rsidP="00C02E2C">
      <w:pPr>
        <w:jc w:val="center"/>
        <w:rPr>
          <w:b/>
          <w:color w:val="002060"/>
          <w:sz w:val="32"/>
          <w:szCs w:val="32"/>
        </w:rPr>
      </w:pPr>
    </w:p>
    <w:p w:rsidR="00C02E2C" w:rsidRDefault="00C02E2C" w:rsidP="00C02E2C">
      <w:pPr>
        <w:jc w:val="center"/>
        <w:rPr>
          <w:b/>
          <w:color w:val="002060"/>
          <w:sz w:val="32"/>
          <w:szCs w:val="32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</w:rPr>
      </w:pPr>
      <w:r w:rsidRPr="00C02E2C">
        <w:rPr>
          <w:b/>
          <w:color w:val="E36C0A" w:themeColor="accent6" w:themeShade="BF"/>
          <w:sz w:val="32"/>
          <w:szCs w:val="32"/>
        </w:rPr>
        <w:lastRenderedPageBreak/>
        <w:t xml:space="preserve">TIPOS DE SESGOS </w:t>
      </w:r>
    </w:p>
    <w:tbl>
      <w:tblPr>
        <w:tblStyle w:val="Cuadrculamedia3-nfasis1"/>
        <w:tblpPr w:leftFromText="141" w:rightFromText="141" w:vertAnchor="page" w:horzAnchor="margin" w:tblpY="3779"/>
        <w:tblW w:w="9343" w:type="dxa"/>
        <w:tblLook w:val="04A0"/>
      </w:tblPr>
      <w:tblGrid>
        <w:gridCol w:w="2186"/>
        <w:gridCol w:w="7157"/>
      </w:tblGrid>
      <w:tr w:rsidR="00C02E2C" w:rsidTr="006B6A31">
        <w:trPr>
          <w:cnfStyle w:val="100000000000"/>
          <w:trHeight w:val="317"/>
        </w:trPr>
        <w:tc>
          <w:tcPr>
            <w:cnfStyle w:val="001000000000"/>
            <w:tcW w:w="0" w:type="auto"/>
          </w:tcPr>
          <w:p w:rsidR="00C02E2C" w:rsidRPr="00AD1B2C" w:rsidRDefault="00C02E2C" w:rsidP="006B6A31">
            <w:pPr>
              <w:jc w:val="center"/>
              <w:rPr>
                <w:sz w:val="24"/>
                <w:szCs w:val="24"/>
              </w:rPr>
            </w:pPr>
            <w:r w:rsidRPr="00AD1B2C">
              <w:rPr>
                <w:sz w:val="24"/>
                <w:szCs w:val="24"/>
              </w:rPr>
              <w:t>TIPOS DE SESGOS</w:t>
            </w:r>
          </w:p>
        </w:tc>
        <w:tc>
          <w:tcPr>
            <w:tcW w:w="0" w:type="auto"/>
          </w:tcPr>
          <w:p w:rsidR="00C02E2C" w:rsidRPr="00AD1B2C" w:rsidRDefault="00C02E2C" w:rsidP="006B6A31">
            <w:pPr>
              <w:jc w:val="center"/>
              <w:cnfStyle w:val="100000000000"/>
              <w:rPr>
                <w:sz w:val="24"/>
                <w:szCs w:val="24"/>
              </w:rPr>
            </w:pPr>
            <w:r w:rsidRPr="00AD1B2C">
              <w:rPr>
                <w:sz w:val="24"/>
                <w:szCs w:val="24"/>
              </w:rPr>
              <w:t>CARACTERÍSTICAS</w:t>
            </w:r>
          </w:p>
        </w:tc>
      </w:tr>
      <w:tr w:rsidR="00C02E2C" w:rsidTr="006B6A31">
        <w:trPr>
          <w:cnfStyle w:val="000000100000"/>
          <w:trHeight w:val="297"/>
        </w:trPr>
        <w:tc>
          <w:tcPr>
            <w:cnfStyle w:val="001000000000"/>
            <w:tcW w:w="0" w:type="auto"/>
          </w:tcPr>
          <w:p w:rsidR="00C02E2C" w:rsidRPr="00E458F9" w:rsidRDefault="00C02E2C" w:rsidP="006B6A31">
            <w:r>
              <w:t xml:space="preserve">DE </w:t>
            </w:r>
            <w:r w:rsidRPr="00E458F9">
              <w:t>SELECCION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100000"/>
            </w:pPr>
          </w:p>
        </w:tc>
      </w:tr>
      <w:tr w:rsidR="00C02E2C" w:rsidTr="006B6A31">
        <w:trPr>
          <w:trHeight w:val="1365"/>
        </w:trPr>
        <w:tc>
          <w:tcPr>
            <w:cnfStyle w:val="001000000000"/>
            <w:tcW w:w="0" w:type="auto"/>
          </w:tcPr>
          <w:p w:rsidR="00C02E2C" w:rsidRPr="00E458F9" w:rsidRDefault="00C02E2C" w:rsidP="00C02E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Berkeson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02E2C" w:rsidRPr="00E458F9" w:rsidRDefault="00C02E2C" w:rsidP="006B6A3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E45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 en estudios de casos y controles, en el que el hecho de estar enfermo y haber estado expuesto al factor de riesgo en estudio aumenta la probabilidad de ser ingresado en un hospital, lo que da lugar a una tasa de exposición sistemáticamente más elevada entre los casos hospitalarios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N</w:t>
            </w:r>
            <w:r w:rsidRPr="00E45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son</w:t>
            </w:r>
            <w:r w:rsidRPr="00E45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representativo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E45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población.</w:t>
            </w:r>
          </w:p>
        </w:tc>
      </w:tr>
      <w:tr w:rsidR="00C02E2C" w:rsidTr="006B6A31">
        <w:trPr>
          <w:cnfStyle w:val="000000100000"/>
          <w:trHeight w:val="812"/>
        </w:trPr>
        <w:tc>
          <w:tcPr>
            <w:cnfStyle w:val="001000000000"/>
            <w:tcW w:w="0" w:type="auto"/>
          </w:tcPr>
          <w:p w:rsidR="00C02E2C" w:rsidRPr="00E458F9" w:rsidRDefault="00C02E2C" w:rsidP="00C02E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58F9">
              <w:rPr>
                <w:rFonts w:ascii="Arial" w:hAnsi="Arial" w:cs="Arial"/>
                <w:sz w:val="20"/>
                <w:szCs w:val="20"/>
              </w:rPr>
              <w:t xml:space="preserve">Falacia de </w:t>
            </w:r>
            <w:proofErr w:type="spellStart"/>
            <w:r w:rsidRPr="00E458F9">
              <w:rPr>
                <w:rFonts w:ascii="Arial" w:hAnsi="Arial" w:cs="Arial"/>
                <w:sz w:val="20"/>
                <w:szCs w:val="20"/>
              </w:rPr>
              <w:t>Neyman</w:t>
            </w:r>
            <w:proofErr w:type="spellEnd"/>
          </w:p>
        </w:tc>
        <w:tc>
          <w:tcPr>
            <w:tcW w:w="0" w:type="auto"/>
          </w:tcPr>
          <w:p w:rsidR="00C02E2C" w:rsidRPr="00E458F9" w:rsidRDefault="00C02E2C" w:rsidP="006B6A3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E458F9">
              <w:rPr>
                <w:rFonts w:ascii="Arial" w:hAnsi="Arial" w:cs="Arial"/>
                <w:sz w:val="20"/>
                <w:szCs w:val="20"/>
              </w:rPr>
              <w:t>Casos prevalentes más casos incidentes</w:t>
            </w:r>
            <w:r>
              <w:rPr>
                <w:rFonts w:ascii="Arial" w:hAnsi="Arial" w:cs="Arial"/>
                <w:sz w:val="20"/>
                <w:szCs w:val="20"/>
              </w:rPr>
              <w:t>, son casos que llevan más tiempo con la enfermedad, así que no se puede analizar de la misma manera, provocando un sesgo en la medición de la exposición</w:t>
            </w:r>
          </w:p>
        </w:tc>
      </w:tr>
      <w:tr w:rsidR="00C02E2C" w:rsidTr="006B6A31">
        <w:trPr>
          <w:trHeight w:val="1285"/>
        </w:trPr>
        <w:tc>
          <w:tcPr>
            <w:cnfStyle w:val="001000000000"/>
            <w:tcW w:w="0" w:type="auto"/>
          </w:tcPr>
          <w:p w:rsidR="00C02E2C" w:rsidRPr="00BA587F" w:rsidRDefault="00C02E2C" w:rsidP="00C02E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A587F">
              <w:rPr>
                <w:rFonts w:ascii="Arial" w:hAnsi="Arial" w:cs="Arial"/>
                <w:sz w:val="20"/>
                <w:szCs w:val="20"/>
              </w:rPr>
              <w:t>Referencia selectiva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000000"/>
            </w:pPr>
            <w:r>
              <w:t>Cuando se recurre a grupos expertos para la selección de los sujetos de estudio, haciéndolo de muestra y en proceso subjetivo. Y no son representativos de la población fuente, donde los casos son los más clásicos y no de lo existente</w:t>
            </w:r>
          </w:p>
        </w:tc>
      </w:tr>
      <w:tr w:rsidR="00C02E2C" w:rsidTr="006B6A31">
        <w:trPr>
          <w:cnfStyle w:val="000000100000"/>
          <w:trHeight w:val="337"/>
        </w:trPr>
        <w:tc>
          <w:tcPr>
            <w:cnfStyle w:val="001000000000"/>
            <w:tcW w:w="0" w:type="auto"/>
          </w:tcPr>
          <w:p w:rsidR="00C02E2C" w:rsidRPr="00A57A76" w:rsidRDefault="00C02E2C" w:rsidP="00C02E2C">
            <w:pPr>
              <w:pStyle w:val="Prrafodelista"/>
              <w:numPr>
                <w:ilvl w:val="0"/>
                <w:numId w:val="2"/>
              </w:numPr>
            </w:pPr>
            <w:r>
              <w:t>Detec</w:t>
            </w:r>
            <w:r w:rsidRPr="00A57A76">
              <w:t>ción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100000"/>
            </w:pPr>
            <w:r>
              <w:t>(Por estatus de exposición). Se origina cuando la prueba diagnostica</w:t>
            </w:r>
          </w:p>
        </w:tc>
      </w:tr>
      <w:tr w:rsidR="00C02E2C" w:rsidTr="006B6A31">
        <w:trPr>
          <w:trHeight w:val="534"/>
        </w:trPr>
        <w:tc>
          <w:tcPr>
            <w:cnfStyle w:val="001000000000"/>
            <w:tcW w:w="0" w:type="auto"/>
          </w:tcPr>
          <w:p w:rsidR="00C02E2C" w:rsidRPr="00A57A76" w:rsidRDefault="00C02E2C" w:rsidP="006B6A31">
            <w:r>
              <w:t>DE INFORMACION</w:t>
            </w:r>
          </w:p>
        </w:tc>
        <w:tc>
          <w:tcPr>
            <w:tcW w:w="0" w:type="auto"/>
          </w:tcPr>
          <w:p w:rsidR="00C02E2C" w:rsidRPr="00835FAA" w:rsidRDefault="00C02E2C" w:rsidP="006B6A3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835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FAA">
              <w:rPr>
                <w:rFonts w:ascii="Arial" w:hAnsi="Arial" w:cs="Arial"/>
                <w:color w:val="595959" w:themeColor="text1" w:themeTint="A6"/>
                <w:sz w:val="20"/>
                <w:szCs w:val="20"/>
                <w:shd w:val="clear" w:color="auto" w:fill="FFFFFF"/>
              </w:rPr>
              <w:t>Buscando confirmar hipótesis o exagerar la información o recordarla correctamente</w:t>
            </w:r>
          </w:p>
        </w:tc>
      </w:tr>
      <w:tr w:rsidR="00C02E2C" w:rsidTr="006B6A31">
        <w:trPr>
          <w:cnfStyle w:val="000000100000"/>
          <w:trHeight w:val="534"/>
        </w:trPr>
        <w:tc>
          <w:tcPr>
            <w:cnfStyle w:val="001000000000"/>
            <w:tcW w:w="0" w:type="auto"/>
          </w:tcPr>
          <w:p w:rsidR="00C02E2C" w:rsidRPr="00705B37" w:rsidRDefault="00C02E2C" w:rsidP="00C02E2C">
            <w:pPr>
              <w:pStyle w:val="Prrafodelista"/>
              <w:numPr>
                <w:ilvl w:val="0"/>
                <w:numId w:val="2"/>
              </w:numPr>
            </w:pPr>
            <w:r>
              <w:t>Recuerdo</w:t>
            </w:r>
          </w:p>
        </w:tc>
        <w:tc>
          <w:tcPr>
            <w:tcW w:w="0" w:type="auto"/>
          </w:tcPr>
          <w:p w:rsidR="00C02E2C" w:rsidRPr="00835FAA" w:rsidRDefault="00C02E2C" w:rsidP="006B6A3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5FAA">
              <w:rPr>
                <w:rFonts w:ascii="Arial" w:hAnsi="Arial" w:cs="Arial"/>
                <w:sz w:val="20"/>
                <w:szCs w:val="20"/>
              </w:rPr>
              <w:t>Este Es cuando su grado de enfermedad, los hace más sensible para recordar. O que modifiquen sus respuestas por temor a ser criticados</w:t>
            </w:r>
          </w:p>
        </w:tc>
      </w:tr>
      <w:tr w:rsidR="00C02E2C" w:rsidTr="006B6A31">
        <w:trPr>
          <w:trHeight w:val="812"/>
        </w:trPr>
        <w:tc>
          <w:tcPr>
            <w:cnfStyle w:val="001000000000"/>
            <w:tcW w:w="0" w:type="auto"/>
          </w:tcPr>
          <w:p w:rsidR="00C02E2C" w:rsidRPr="001D5998" w:rsidRDefault="00C02E2C" w:rsidP="00C02E2C">
            <w:pPr>
              <w:pStyle w:val="Prrafodelista"/>
              <w:numPr>
                <w:ilvl w:val="0"/>
                <w:numId w:val="2"/>
              </w:numPr>
            </w:pPr>
            <w:r>
              <w:t>De memoria</w:t>
            </w:r>
          </w:p>
        </w:tc>
        <w:tc>
          <w:tcPr>
            <w:tcW w:w="0" w:type="auto"/>
          </w:tcPr>
          <w:p w:rsidR="00C02E2C" w:rsidRPr="00835FAA" w:rsidRDefault="00C02E2C" w:rsidP="006B6A3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835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estudios de casos y controles puede que los casos recuerden más que los controles algunas experiencias previas, lo que en principio da lugar a una sobreestimación de la razón de ventajas</w:t>
            </w:r>
            <w:r w:rsidRPr="00835FA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02E2C" w:rsidTr="006B6A31">
        <w:trPr>
          <w:cnfStyle w:val="000000100000"/>
          <w:trHeight w:val="633"/>
        </w:trPr>
        <w:tc>
          <w:tcPr>
            <w:cnfStyle w:val="001000000000"/>
            <w:tcW w:w="0" w:type="auto"/>
          </w:tcPr>
          <w:p w:rsidR="00C02E2C" w:rsidRPr="00E458F9" w:rsidRDefault="00C02E2C" w:rsidP="006B6A31">
            <w:r>
              <w:t>ESTUDIO TRANSVERSAL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100000"/>
            </w:pPr>
          </w:p>
        </w:tc>
      </w:tr>
      <w:tr w:rsidR="00C02E2C" w:rsidTr="006B6A31">
        <w:trPr>
          <w:trHeight w:val="1266"/>
        </w:trPr>
        <w:tc>
          <w:tcPr>
            <w:cnfStyle w:val="001000000000"/>
            <w:tcW w:w="0" w:type="auto"/>
          </w:tcPr>
          <w:p w:rsidR="00C02E2C" w:rsidRPr="00835FAA" w:rsidRDefault="00C02E2C" w:rsidP="00C02E2C">
            <w:pPr>
              <w:pStyle w:val="Prrafodelista"/>
              <w:numPr>
                <w:ilvl w:val="0"/>
                <w:numId w:val="2"/>
              </w:numPr>
            </w:pPr>
            <w:r>
              <w:t>Ambigüedad temporal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000000"/>
            </w:pPr>
            <w:r>
              <w:t>La presencia de la enfermedad es mediada al mismo tiempo que los factores  de los que estuvo expuesto el sujeto, que deriva en un desconocimiento si fue l enfermedad o la exposición, así es imposible determinar cuál fue causa-efecto.</w:t>
            </w:r>
          </w:p>
        </w:tc>
      </w:tr>
      <w:tr w:rsidR="00C02E2C" w:rsidTr="006B6A31">
        <w:trPr>
          <w:cnfStyle w:val="000000100000"/>
          <w:trHeight w:val="969"/>
        </w:trPr>
        <w:tc>
          <w:tcPr>
            <w:cnfStyle w:val="001000000000"/>
            <w:tcW w:w="0" w:type="auto"/>
          </w:tcPr>
          <w:p w:rsidR="00C02E2C" w:rsidRPr="00835FAA" w:rsidRDefault="00C02E2C" w:rsidP="00C02E2C">
            <w:pPr>
              <w:pStyle w:val="Prrafodelista"/>
              <w:numPr>
                <w:ilvl w:val="0"/>
                <w:numId w:val="2"/>
              </w:numPr>
            </w:pPr>
            <w:r>
              <w:t>De entrevistador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100000"/>
            </w:pPr>
            <w:r>
              <w:t>Dependiendo a las expectativas de que llevan a cabo las encuestas, ya sea de manera dirigida o capturando respuestas a base  de su interés y no con la metodología  adecuada.</w:t>
            </w:r>
          </w:p>
        </w:tc>
      </w:tr>
      <w:tr w:rsidR="00C02E2C" w:rsidTr="006B6A31">
        <w:trPr>
          <w:trHeight w:val="969"/>
        </w:trPr>
        <w:tc>
          <w:tcPr>
            <w:cnfStyle w:val="001000000000"/>
            <w:tcW w:w="0" w:type="auto"/>
          </w:tcPr>
          <w:p w:rsidR="00C02E2C" w:rsidRPr="00835FAA" w:rsidRDefault="00C02E2C" w:rsidP="00C02E2C">
            <w:pPr>
              <w:pStyle w:val="Prrafodelista"/>
              <w:numPr>
                <w:ilvl w:val="0"/>
                <w:numId w:val="2"/>
              </w:numPr>
            </w:pPr>
            <w:r>
              <w:t xml:space="preserve"> De  entrevistado</w:t>
            </w:r>
          </w:p>
        </w:tc>
        <w:tc>
          <w:tcPr>
            <w:tcW w:w="0" w:type="auto"/>
          </w:tcPr>
          <w:p w:rsidR="00C02E2C" w:rsidRDefault="00C02E2C" w:rsidP="006B6A31">
            <w:pPr>
              <w:cnfStyle w:val="000000000000"/>
            </w:pPr>
            <w:r>
              <w:t>Pueden suponer una hipótesis falsa o verdadera, y puede que el estudio sea modificado para favorecer o afectar la validez del estudio y que el entrevistado invente o no responda en absoluto</w:t>
            </w:r>
          </w:p>
        </w:tc>
      </w:tr>
    </w:tbl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C02E2C" w:rsidRPr="00AD1B2C" w:rsidRDefault="00C02E2C" w:rsidP="00C02E2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D1B2C">
        <w:rPr>
          <w:rFonts w:ascii="Arial" w:hAnsi="Arial" w:cs="Arial"/>
          <w:b/>
          <w:color w:val="E36C0A" w:themeColor="accent6" w:themeShade="BF"/>
          <w:sz w:val="32"/>
          <w:szCs w:val="32"/>
        </w:rPr>
        <w:lastRenderedPageBreak/>
        <w:t>HISTORIA DE LA MEDICINA A BASE DE EVIDENCIAS</w:t>
      </w:r>
    </w:p>
    <w:p w:rsidR="00C02E2C" w:rsidRPr="00AD1B2C" w:rsidRDefault="00C02E2C" w:rsidP="00C02E2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AD1B2C">
        <w:rPr>
          <w:rFonts w:ascii="Arial" w:hAnsi="Arial" w:cs="Arial"/>
          <w:sz w:val="24"/>
          <w:szCs w:val="24"/>
        </w:rPr>
        <w:t xml:space="preserve">En 1753 </w:t>
      </w:r>
      <w:proofErr w:type="spellStart"/>
      <w:r w:rsidRPr="00AD1B2C">
        <w:rPr>
          <w:rFonts w:ascii="Arial" w:hAnsi="Arial" w:cs="Arial"/>
          <w:sz w:val="24"/>
          <w:szCs w:val="24"/>
        </w:rPr>
        <w:t>Lind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demostró el beneficio de comer naranjas y limones para curar el escorbuto, en un estudio clínico de 12 pacientes. La investigación clínica se desarrollaba lentamente, hasta dos siglos después en que apareció, en 1952, en el </w:t>
      </w:r>
      <w:r w:rsidRPr="00AD1B2C">
        <w:rPr>
          <w:rFonts w:ascii="Arial" w:hAnsi="Arial" w:cs="Arial"/>
          <w:iCs/>
          <w:sz w:val="24"/>
          <w:szCs w:val="24"/>
        </w:rPr>
        <w:t xml:space="preserve">British </w:t>
      </w:r>
      <w:proofErr w:type="spellStart"/>
      <w:r w:rsidRPr="00AD1B2C">
        <w:rPr>
          <w:rFonts w:ascii="Arial" w:hAnsi="Arial" w:cs="Arial"/>
          <w:iCs/>
          <w:sz w:val="24"/>
          <w:szCs w:val="24"/>
        </w:rPr>
        <w:t>Medical</w:t>
      </w:r>
      <w:proofErr w:type="spellEnd"/>
      <w:r w:rsidRPr="00AD1B2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iCs/>
          <w:sz w:val="24"/>
          <w:szCs w:val="24"/>
        </w:rPr>
        <w:t>Journal</w:t>
      </w:r>
      <w:proofErr w:type="spellEnd"/>
      <w:r w:rsidRPr="00AD1B2C">
        <w:rPr>
          <w:rFonts w:ascii="Arial" w:hAnsi="Arial" w:cs="Arial"/>
          <w:iCs/>
          <w:sz w:val="24"/>
          <w:szCs w:val="24"/>
        </w:rPr>
        <w:t>,</w:t>
      </w:r>
      <w:r w:rsidRPr="00AD1B2C">
        <w:rPr>
          <w:rFonts w:ascii="Arial" w:hAnsi="Arial" w:cs="Arial"/>
          <w:sz w:val="24"/>
          <w:szCs w:val="24"/>
        </w:rPr>
        <w:t xml:space="preserve"> el primer ensayo clínico </w:t>
      </w:r>
      <w:proofErr w:type="spellStart"/>
      <w:r w:rsidRPr="00AD1B2C">
        <w:rPr>
          <w:rFonts w:ascii="Arial" w:hAnsi="Arial" w:cs="Arial"/>
          <w:sz w:val="24"/>
          <w:szCs w:val="24"/>
        </w:rPr>
        <w:t>randomizado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. Desde entonces la investigación clínica mantiene un crecimiento permanente, como describió el Dr. V. Valdivieso en esta revista. </w:t>
      </w:r>
    </w:p>
    <w:p w:rsidR="00C02E2C" w:rsidRPr="00AD1B2C" w:rsidRDefault="00C02E2C" w:rsidP="00C02E2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AD1B2C">
        <w:rPr>
          <w:rFonts w:ascii="Arial" w:hAnsi="Arial" w:cs="Arial"/>
          <w:sz w:val="24"/>
          <w:szCs w:val="24"/>
        </w:rPr>
        <w:t xml:space="preserve">A fines de los 70 varios epidemiólogos clínicos, entre los que destacan D. </w:t>
      </w:r>
      <w:proofErr w:type="spellStart"/>
      <w:r w:rsidRPr="00AD1B2C">
        <w:rPr>
          <w:rFonts w:ascii="Arial" w:hAnsi="Arial" w:cs="Arial"/>
          <w:sz w:val="24"/>
          <w:szCs w:val="24"/>
        </w:rPr>
        <w:t>Sackett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, B. </w:t>
      </w:r>
      <w:proofErr w:type="spellStart"/>
      <w:r w:rsidRPr="00AD1B2C">
        <w:rPr>
          <w:rFonts w:ascii="Arial" w:hAnsi="Arial" w:cs="Arial"/>
          <w:sz w:val="24"/>
          <w:szCs w:val="24"/>
        </w:rPr>
        <w:t>Haynes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y P. </w:t>
      </w:r>
      <w:proofErr w:type="spellStart"/>
      <w:r w:rsidRPr="00AD1B2C">
        <w:rPr>
          <w:rFonts w:ascii="Arial" w:hAnsi="Arial" w:cs="Arial"/>
          <w:sz w:val="24"/>
          <w:szCs w:val="24"/>
        </w:rPr>
        <w:t>Tugwell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, se esforzaban por integrar la investigación clínica a la toma de decisiones para los pacientes. En la década del 80 aparecieron en el </w:t>
      </w:r>
      <w:r w:rsidRPr="00AD1B2C">
        <w:rPr>
          <w:rFonts w:ascii="Arial" w:hAnsi="Arial" w:cs="Arial"/>
          <w:iCs/>
          <w:sz w:val="24"/>
          <w:szCs w:val="24"/>
        </w:rPr>
        <w:t xml:space="preserve">Canadian </w:t>
      </w:r>
      <w:proofErr w:type="spellStart"/>
      <w:r w:rsidRPr="00AD1B2C">
        <w:rPr>
          <w:rFonts w:ascii="Arial" w:hAnsi="Arial" w:cs="Arial"/>
          <w:iCs/>
          <w:sz w:val="24"/>
          <w:szCs w:val="24"/>
        </w:rPr>
        <w:t>Medical</w:t>
      </w:r>
      <w:proofErr w:type="spellEnd"/>
      <w:r w:rsidRPr="00AD1B2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iCs/>
          <w:sz w:val="24"/>
          <w:szCs w:val="24"/>
        </w:rPr>
        <w:t>Association</w:t>
      </w:r>
      <w:proofErr w:type="spellEnd"/>
      <w:r w:rsidRPr="00AD1B2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iCs/>
          <w:sz w:val="24"/>
          <w:szCs w:val="24"/>
        </w:rPr>
        <w:t>Journal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las primeras publicaciones orientadas a revisar críticamente estudios publicados en revistas médicas. En 1990, G. </w:t>
      </w:r>
      <w:proofErr w:type="spellStart"/>
      <w:r w:rsidRPr="00AD1B2C">
        <w:rPr>
          <w:rFonts w:ascii="Arial" w:hAnsi="Arial" w:cs="Arial"/>
          <w:sz w:val="24"/>
          <w:szCs w:val="24"/>
        </w:rPr>
        <w:t>Guyatt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acuñó el término «Medicina Basada en Evidencia» (MBE) en un documento informal destinado a los residentes de Medicina Interna de la Universidad de Mc </w:t>
      </w:r>
      <w:proofErr w:type="spellStart"/>
      <w:r w:rsidRPr="00AD1B2C">
        <w:rPr>
          <w:rFonts w:ascii="Arial" w:hAnsi="Arial" w:cs="Arial"/>
          <w:sz w:val="24"/>
          <w:szCs w:val="24"/>
        </w:rPr>
        <w:t>Master</w:t>
      </w:r>
      <w:proofErr w:type="spellEnd"/>
      <w:r w:rsidRPr="00AD1B2C">
        <w:rPr>
          <w:rFonts w:ascii="Arial" w:hAnsi="Arial" w:cs="Arial"/>
          <w:sz w:val="24"/>
          <w:szCs w:val="24"/>
        </w:rPr>
        <w:t>, en Canadá. En 1992, el JAMA inició la serie de artículos «</w:t>
      </w:r>
      <w:proofErr w:type="spellStart"/>
      <w:r w:rsidRPr="00AD1B2C">
        <w:rPr>
          <w:rFonts w:ascii="Arial" w:hAnsi="Arial" w:cs="Arial"/>
          <w:sz w:val="24"/>
          <w:szCs w:val="24"/>
        </w:rPr>
        <w:t>Users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' Guides </w:t>
      </w:r>
      <w:proofErr w:type="spellStart"/>
      <w:r w:rsidRPr="00AD1B2C">
        <w:rPr>
          <w:rFonts w:ascii="Arial" w:hAnsi="Arial" w:cs="Arial"/>
          <w:sz w:val="24"/>
          <w:szCs w:val="24"/>
        </w:rPr>
        <w:t>to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sz w:val="24"/>
          <w:szCs w:val="24"/>
        </w:rPr>
        <w:t>the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sz w:val="24"/>
          <w:szCs w:val="24"/>
        </w:rPr>
        <w:t>Medical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sz w:val="24"/>
          <w:szCs w:val="24"/>
        </w:rPr>
        <w:t>Literature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», iniciativa liderada por el Dr. </w:t>
      </w:r>
      <w:proofErr w:type="spellStart"/>
      <w:r w:rsidRPr="00AD1B2C">
        <w:rPr>
          <w:rFonts w:ascii="Arial" w:hAnsi="Arial" w:cs="Arial"/>
          <w:sz w:val="24"/>
          <w:szCs w:val="24"/>
        </w:rPr>
        <w:t>Guyatt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y epidemiólogos clínicos de universidades norteamericanas y europeas. Posteriormente, el término MBE fue ampliado para incluir otras especialidades médicas y no médicas que inciden en el cuidado de pacientes, denominándose «</w:t>
      </w:r>
      <w:proofErr w:type="spellStart"/>
      <w:r w:rsidRPr="00AD1B2C">
        <w:rPr>
          <w:rFonts w:ascii="Arial" w:hAnsi="Arial" w:cs="Arial"/>
          <w:sz w:val="24"/>
          <w:szCs w:val="24"/>
        </w:rPr>
        <w:t>Evidence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sz w:val="24"/>
          <w:szCs w:val="24"/>
        </w:rPr>
        <w:t>Based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sz w:val="24"/>
          <w:szCs w:val="24"/>
        </w:rPr>
        <w:t>Health</w:t>
      </w:r>
      <w:proofErr w:type="spellEnd"/>
      <w:r w:rsidRPr="00AD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B2C">
        <w:rPr>
          <w:rFonts w:ascii="Arial" w:hAnsi="Arial" w:cs="Arial"/>
          <w:sz w:val="24"/>
          <w:szCs w:val="24"/>
        </w:rPr>
        <w:t>Care</w:t>
      </w:r>
      <w:proofErr w:type="spellEnd"/>
      <w:r w:rsidRPr="00AD1B2C">
        <w:rPr>
          <w:rFonts w:ascii="Arial" w:hAnsi="Arial" w:cs="Arial"/>
          <w:sz w:val="24"/>
          <w:szCs w:val="24"/>
        </w:rPr>
        <w:t>» (EBHC), que algunos traducen como «Cuidados de Salud Basados en Evidencia» o «Atención de Salud Basada en Evidencia»; estas traducciones no han logrado aceptación general, por lo que seguiremos usando el término MBE, para referirnos a la EBHC.</w:t>
      </w: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p w:rsidR="00C02E2C" w:rsidRDefault="00C02E2C" w:rsidP="00C02E2C">
      <w:pPr>
        <w:jc w:val="center"/>
        <w:rPr>
          <w:rFonts w:ascii="Arial" w:hAnsi="Arial" w:cs="Arial"/>
          <w:b/>
        </w:rPr>
      </w:pPr>
    </w:p>
    <w:p w:rsidR="00C02E2C" w:rsidRPr="00AD1B2C" w:rsidRDefault="00C02E2C" w:rsidP="00C02E2C">
      <w:pPr>
        <w:pStyle w:val="Prrafodelista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AD1B2C">
        <w:rPr>
          <w:rFonts w:ascii="Arial" w:hAnsi="Arial" w:cs="Arial"/>
          <w:b/>
          <w:color w:val="E36C0A" w:themeColor="accent6" w:themeShade="BF"/>
          <w:sz w:val="28"/>
          <w:szCs w:val="28"/>
        </w:rPr>
        <w:t>ESTUDIOS QUE INVOLUCRA</w:t>
      </w:r>
    </w:p>
    <w:p w:rsidR="00C02E2C" w:rsidRDefault="00C02E2C" w:rsidP="00C02E2C">
      <w:r w:rsidRPr="00A82D0E">
        <w:rPr>
          <w:noProof/>
          <w:lang w:val="es-MX" w:eastAsia="es-MX"/>
        </w:rPr>
        <w:drawing>
          <wp:inline distT="0" distB="0" distL="0" distR="0">
            <wp:extent cx="5731510" cy="4087375"/>
            <wp:effectExtent l="0" t="0" r="2540" b="889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02E2C" w:rsidRDefault="00C02E2C" w:rsidP="00C02E2C"/>
    <w:p w:rsidR="00C02E2C" w:rsidRDefault="00C02E2C" w:rsidP="00C02E2C"/>
    <w:p w:rsidR="00537D3D" w:rsidRPr="00537D3D" w:rsidRDefault="00537D3D" w:rsidP="00537D3D">
      <w:pPr>
        <w:spacing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es-MX"/>
        </w:rPr>
      </w:pPr>
      <w:r w:rsidRPr="00537D3D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es-MX"/>
        </w:rPr>
        <w:t>Clasificación de acuerdo al nivel de evidencia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MX"/>
        </w:rPr>
      </w:pP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 xml:space="preserve">1- Caso </w:t>
      </w:r>
      <w:r w:rsidRPr="00537D3D">
        <w:rPr>
          <w:rFonts w:ascii="Arial" w:eastAsia="Times New Roman" w:hAnsi="Arial" w:cs="Arial"/>
          <w:sz w:val="24"/>
          <w:szCs w:val="24"/>
          <w:lang w:eastAsia="es-MX"/>
        </w:rPr>
        <w:t>clínico:</w:t>
      </w:r>
      <w:r w:rsidRPr="0098286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8286D">
        <w:rPr>
          <w:rFonts w:ascii="Arial" w:eastAsia="Times New Roman" w:hAnsi="Arial" w:cs="Arial"/>
          <w:bCs/>
          <w:sz w:val="24"/>
          <w:szCs w:val="24"/>
          <w:lang w:eastAsia="es-MX"/>
        </w:rPr>
        <w:t>menor evidencia en la literatura científica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>2- Serie de Casos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>3- Transversales o Ecológicos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>4- Casos y Controles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>5- Cohortes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 xml:space="preserve">6- Ensayo Clínico No Controlado                                          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>7- Ensayo Clínico Controlado</w:t>
      </w:r>
    </w:p>
    <w:p w:rsidR="00537D3D" w:rsidRPr="0098286D" w:rsidRDefault="00537D3D" w:rsidP="0053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286D">
        <w:rPr>
          <w:rFonts w:ascii="Arial" w:eastAsia="Times New Roman" w:hAnsi="Arial" w:cs="Arial"/>
          <w:sz w:val="24"/>
          <w:szCs w:val="24"/>
          <w:lang w:eastAsia="es-MX"/>
        </w:rPr>
        <w:t xml:space="preserve">8- Revisiones </w:t>
      </w:r>
      <w:r w:rsidRPr="00537D3D">
        <w:rPr>
          <w:rFonts w:ascii="Arial" w:eastAsia="Times New Roman" w:hAnsi="Arial" w:cs="Arial"/>
          <w:sz w:val="24"/>
          <w:szCs w:val="24"/>
          <w:lang w:eastAsia="es-MX"/>
        </w:rPr>
        <w:t>Sistemáticas:</w:t>
      </w:r>
      <w:r w:rsidRPr="0098286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8286D">
        <w:rPr>
          <w:rFonts w:ascii="Arial" w:eastAsia="Times New Roman" w:hAnsi="Arial" w:cs="Arial"/>
          <w:bCs/>
          <w:sz w:val="24"/>
          <w:szCs w:val="24"/>
          <w:lang w:eastAsia="es-MX"/>
        </w:rPr>
        <w:t>Mayor evidencia científica</w:t>
      </w:r>
    </w:p>
    <w:p w:rsidR="00C02E2C" w:rsidRDefault="00C02E2C" w:rsidP="00C02E2C"/>
    <w:p w:rsidR="00C02E2C" w:rsidRDefault="00C02E2C" w:rsidP="00C02E2C"/>
    <w:p w:rsidR="00C02E2C" w:rsidRDefault="00C02E2C" w:rsidP="00537D3D">
      <w:pPr>
        <w:jc w:val="center"/>
        <w:rPr>
          <w:b/>
          <w:color w:val="E36C0A" w:themeColor="accent6" w:themeShade="BF"/>
          <w:sz w:val="32"/>
          <w:szCs w:val="32"/>
        </w:rPr>
      </w:pPr>
      <w:r w:rsidRPr="00C02E2C">
        <w:rPr>
          <w:b/>
          <w:color w:val="E36C0A" w:themeColor="accent6" w:themeShade="BF"/>
          <w:sz w:val="32"/>
          <w:szCs w:val="32"/>
        </w:rPr>
        <w:lastRenderedPageBreak/>
        <w:t>BIBLIOGRAFÍAS</w:t>
      </w:r>
    </w:p>
    <w:p w:rsidR="00C02E2C" w:rsidRP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C02E2C" w:rsidRDefault="00C02E2C" w:rsidP="00C02E2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3D">
        <w:rPr>
          <w:rFonts w:ascii="Arial" w:hAnsi="Arial" w:cs="Arial"/>
          <w:b/>
          <w:sz w:val="28"/>
          <w:szCs w:val="28"/>
        </w:rPr>
        <w:t xml:space="preserve">Sesgo o error de medición. Edición 12. Universidad autónoma de </w:t>
      </w:r>
      <w:proofErr w:type="spellStart"/>
      <w:r w:rsidRPr="00537D3D">
        <w:rPr>
          <w:rFonts w:ascii="Arial" w:hAnsi="Arial" w:cs="Arial"/>
          <w:b/>
          <w:sz w:val="28"/>
          <w:szCs w:val="28"/>
        </w:rPr>
        <w:t>mexico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02E2C" w:rsidRPr="00C02E2C" w:rsidRDefault="00C02E2C" w:rsidP="00C02E2C">
      <w:pPr>
        <w:ind w:left="360"/>
        <w:rPr>
          <w:rFonts w:ascii="Arial" w:hAnsi="Arial" w:cs="Arial"/>
          <w:sz w:val="28"/>
          <w:szCs w:val="28"/>
        </w:rPr>
      </w:pPr>
      <w:r w:rsidRPr="00C02E2C">
        <w:rPr>
          <w:rFonts w:ascii="Arial" w:hAnsi="Arial" w:cs="Arial"/>
          <w:sz w:val="28"/>
          <w:szCs w:val="28"/>
        </w:rPr>
        <w:t>http://www.facmed.unam.mx/deptos/salud/censenanza/plan2010/epiclin/unidad6/anexo6_comp_DeLaGuardia.pdf</w:t>
      </w:r>
    </w:p>
    <w:p w:rsidR="00C02E2C" w:rsidRPr="00C02E2C" w:rsidRDefault="00C02E2C" w:rsidP="00C02E2C">
      <w:pPr>
        <w:pStyle w:val="Prrafodelista"/>
        <w:rPr>
          <w:rFonts w:ascii="Arial" w:hAnsi="Arial" w:cs="Arial"/>
          <w:sz w:val="28"/>
          <w:szCs w:val="28"/>
        </w:rPr>
      </w:pPr>
    </w:p>
    <w:p w:rsidR="00C02E2C" w:rsidRPr="00537D3D" w:rsidRDefault="00C02E2C" w:rsidP="00C02E2C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537D3D">
        <w:rPr>
          <w:rFonts w:ascii="Arial" w:hAnsi="Arial" w:cs="Arial"/>
          <w:b/>
          <w:sz w:val="28"/>
          <w:szCs w:val="28"/>
        </w:rPr>
        <w:t>Departamento de investigación científica. Europa.</w:t>
      </w:r>
    </w:p>
    <w:p w:rsidR="00C02E2C" w:rsidRDefault="00C02E2C" w:rsidP="00C02E2C">
      <w:pPr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s-ES"/>
        </w:rPr>
      </w:pPr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scientific-european-federation-osteopaths.org/es/</w:t>
      </w:r>
      <w:r w:rsidRPr="00C02E2C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s-ES"/>
        </w:rPr>
        <w:t>sesgos</w:t>
      </w:r>
    </w:p>
    <w:p w:rsidR="00537D3D" w:rsidRPr="00C02E2C" w:rsidRDefault="00537D3D" w:rsidP="00C02E2C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C02E2C" w:rsidRPr="00537D3D" w:rsidRDefault="00C02E2C" w:rsidP="00C02E2C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537D3D">
        <w:rPr>
          <w:rFonts w:ascii="Arial" w:hAnsi="Arial" w:cs="Arial"/>
          <w:b/>
          <w:sz w:val="28"/>
          <w:szCs w:val="28"/>
        </w:rPr>
        <w:t xml:space="preserve">Salud pública de México. 200. </w:t>
      </w:r>
      <w:proofErr w:type="spellStart"/>
      <w:r w:rsidRPr="00537D3D">
        <w:rPr>
          <w:rFonts w:ascii="Arial" w:hAnsi="Arial" w:cs="Arial"/>
          <w:b/>
          <w:sz w:val="28"/>
          <w:szCs w:val="28"/>
        </w:rPr>
        <w:t>Vol</w:t>
      </w:r>
      <w:proofErr w:type="spellEnd"/>
      <w:r w:rsidRPr="00537D3D">
        <w:rPr>
          <w:rFonts w:ascii="Arial" w:hAnsi="Arial" w:cs="Arial"/>
          <w:b/>
          <w:sz w:val="28"/>
          <w:szCs w:val="28"/>
        </w:rPr>
        <w:t xml:space="preserve"> 42. P.p. 438-446 </w:t>
      </w:r>
    </w:p>
    <w:p w:rsidR="00C02E2C" w:rsidRPr="00C02E2C" w:rsidRDefault="00C02E2C" w:rsidP="00C02E2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</w:pPr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bvs.insp.mx/</w:t>
      </w:r>
      <w:proofErr w:type="spellStart"/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rsp</w:t>
      </w:r>
      <w:proofErr w:type="spellEnd"/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/</w:t>
      </w:r>
      <w:proofErr w:type="spellStart"/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articulos</w:t>
      </w:r>
      <w:proofErr w:type="spellEnd"/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/</w:t>
      </w:r>
      <w:proofErr w:type="spellStart"/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articulo.php?id</w:t>
      </w:r>
      <w:proofErr w:type="spellEnd"/>
      <w:r w:rsidRPr="00C02E2C">
        <w:rPr>
          <w:rFonts w:ascii="Arial" w:eastAsia="Times New Roman" w:hAnsi="Arial" w:cs="Arial"/>
          <w:color w:val="1F497D" w:themeColor="text2"/>
          <w:sz w:val="28"/>
          <w:szCs w:val="28"/>
          <w:lang w:eastAsia="es-ES"/>
        </w:rPr>
        <w:t>=000636</w:t>
      </w:r>
    </w:p>
    <w:p w:rsidR="00C02E2C" w:rsidRPr="008E42BA" w:rsidRDefault="00C02E2C" w:rsidP="00C02E2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1F497D" w:themeColor="text2"/>
          <w:sz w:val="20"/>
          <w:szCs w:val="20"/>
          <w:lang w:eastAsia="es-ES"/>
        </w:rPr>
      </w:pPr>
    </w:p>
    <w:p w:rsidR="00C02E2C" w:rsidRPr="00C02E2C" w:rsidRDefault="00C02E2C" w:rsidP="00C02E2C">
      <w:pPr>
        <w:jc w:val="center"/>
        <w:rPr>
          <w:b/>
          <w:color w:val="E36C0A" w:themeColor="accent6" w:themeShade="BF"/>
          <w:sz w:val="32"/>
          <w:szCs w:val="32"/>
          <w:lang w:val="es-MX"/>
        </w:rPr>
      </w:pPr>
    </w:p>
    <w:sectPr w:rsidR="00C02E2C" w:rsidRPr="00C02E2C" w:rsidSect="00C02E2C">
      <w:pgSz w:w="12240" w:h="15840"/>
      <w:pgMar w:top="1417" w:right="1701" w:bottom="1417" w:left="1701" w:header="708" w:footer="708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1D" w:rsidRDefault="00F1211D" w:rsidP="00C02E2C">
      <w:pPr>
        <w:spacing w:after="0" w:line="240" w:lineRule="auto"/>
      </w:pPr>
      <w:r>
        <w:separator/>
      </w:r>
    </w:p>
  </w:endnote>
  <w:endnote w:type="continuationSeparator" w:id="0">
    <w:p w:rsidR="00F1211D" w:rsidRDefault="00F1211D" w:rsidP="00C0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1D" w:rsidRDefault="00F1211D" w:rsidP="00C02E2C">
      <w:pPr>
        <w:spacing w:after="0" w:line="240" w:lineRule="auto"/>
      </w:pPr>
      <w:r>
        <w:separator/>
      </w:r>
    </w:p>
  </w:footnote>
  <w:footnote w:type="continuationSeparator" w:id="0">
    <w:p w:rsidR="00F1211D" w:rsidRDefault="00F1211D" w:rsidP="00C0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11"/>
    <w:multiLevelType w:val="hybridMultilevel"/>
    <w:tmpl w:val="06B829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4B0E"/>
    <w:multiLevelType w:val="hybridMultilevel"/>
    <w:tmpl w:val="E94249BE"/>
    <w:lvl w:ilvl="0" w:tplc="2F58C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B30D3"/>
    <w:multiLevelType w:val="hybridMultilevel"/>
    <w:tmpl w:val="5F828FB8"/>
    <w:lvl w:ilvl="0" w:tplc="9F48F47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E2C"/>
    <w:rsid w:val="00135A20"/>
    <w:rsid w:val="003E7B3D"/>
    <w:rsid w:val="00537D3D"/>
    <w:rsid w:val="00C02E2C"/>
    <w:rsid w:val="00F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E2C"/>
    <w:rPr>
      <w:rFonts w:ascii="Tahoma" w:hAnsi="Tahoma" w:cs="Tahoma"/>
      <w:sz w:val="16"/>
      <w:szCs w:val="16"/>
      <w:lang w:val="es-ES"/>
    </w:rPr>
  </w:style>
  <w:style w:type="table" w:styleId="Cuadrculamedia3-nfasis1">
    <w:name w:val="Medium Grid 3 Accent 1"/>
    <w:basedOn w:val="Tablanormal"/>
    <w:uiPriority w:val="69"/>
    <w:rsid w:val="00C02E2C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C02E2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2E2C"/>
  </w:style>
  <w:style w:type="paragraph" w:styleId="Encabezado">
    <w:name w:val="header"/>
    <w:basedOn w:val="Normal"/>
    <w:link w:val="EncabezadoCar"/>
    <w:uiPriority w:val="99"/>
    <w:semiHidden/>
    <w:unhideWhenUsed/>
    <w:rsid w:val="00C02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2C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E2C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C0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02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lopez campos</cp:lastModifiedBy>
  <cp:revision>1</cp:revision>
  <dcterms:created xsi:type="dcterms:W3CDTF">2014-08-27T00:23:00Z</dcterms:created>
  <dcterms:modified xsi:type="dcterms:W3CDTF">2014-08-27T00:43:00Z</dcterms:modified>
</cp:coreProperties>
</file>