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AD" w:rsidRDefault="001105AD" w:rsidP="004477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1105AD">
        <w:rPr>
          <w:rFonts w:ascii="Arial" w:hAnsi="Arial" w:cs="Arial"/>
          <w:b/>
          <w:bCs/>
          <w:color w:val="231F20"/>
          <w:sz w:val="24"/>
          <w:szCs w:val="24"/>
        </w:rPr>
        <w:t>Historia de la medicina basada en evidencia</w:t>
      </w:r>
    </w:p>
    <w:p w:rsidR="001105AD" w:rsidRPr="001105AD" w:rsidRDefault="001105AD" w:rsidP="004477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1105AD" w:rsidRDefault="001105AD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1105AD">
        <w:rPr>
          <w:rFonts w:ascii="Arial" w:hAnsi="Arial" w:cs="Arial"/>
          <w:color w:val="231F20"/>
          <w:sz w:val="24"/>
          <w:szCs w:val="24"/>
        </w:rPr>
        <w:t>Muchas de las ideas que promueven el ejercicio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la MBE son muy antiguas.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Durante el reinado del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 xml:space="preserve">Emperador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Qianlong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 xml:space="preserve"> en China (Siglo XVIII), se desarrolló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una metodología para interpretar los textos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antiguos de Confucio, llamada “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kaozheng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>”, que traducido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significa “practicando investigación con evidencias”.</w:t>
      </w:r>
    </w:p>
    <w:p w:rsidR="001105AD" w:rsidRPr="001105AD" w:rsidRDefault="001105AD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</w:p>
    <w:p w:rsidR="001105AD" w:rsidRDefault="001105AD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1105AD">
        <w:rPr>
          <w:rFonts w:ascii="Arial" w:hAnsi="Arial" w:cs="Arial"/>
          <w:color w:val="231F20"/>
          <w:sz w:val="24"/>
          <w:szCs w:val="24"/>
        </w:rPr>
        <w:t>Fue hasta 1952 que apareció el primer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 xml:space="preserve">ensayo clínico aleatorio publicado en el British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Medical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Journal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 xml:space="preserve"> constituyendo un punto de cambio fundamental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en el desarrollo del razonamiento biomédico,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que permitió cuantificar la eficacia real y 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seguridad de las intervenciones preventivas, diagnósticas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o terapéuticas, así como la formación de opiniones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sobre el pronóstico. El ensayo clínico fue 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punto de partida para el desarrollo de múltiples técnicas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de estudio y análisis científicos basados en 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estadística y la epidemiología. Sin embargo, fue necesario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que transcurrieran</w:t>
      </w:r>
      <w:r>
        <w:rPr>
          <w:rFonts w:ascii="Arial" w:hAnsi="Arial" w:cs="Arial"/>
          <w:color w:val="231F20"/>
          <w:sz w:val="24"/>
          <w:szCs w:val="24"/>
        </w:rPr>
        <w:t xml:space="preserve"> algunos</w:t>
      </w:r>
      <w:r w:rsidRPr="001105AD">
        <w:rPr>
          <w:rFonts w:ascii="Arial" w:hAnsi="Arial" w:cs="Arial"/>
          <w:color w:val="231F20"/>
          <w:sz w:val="24"/>
          <w:szCs w:val="24"/>
        </w:rPr>
        <w:t xml:space="preserve"> años, para que estos criterios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se incorporaran eficazmente al campo de 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epidemiología clínica. A finales de la década de los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70 varios epidemiólogos clínicos entre los que se destacan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Sackett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Haynes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Tugwell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>, se esforzaban por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integrar los datos de la investigación clínica a la toma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de decisiones en la práctica médica; en los 80 aparecieron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las primeras publicaciones orientadas a 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revisión crítica de estudios publicados en revistas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médicas y fue así que en 1990 en la Universidad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McMaster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 xml:space="preserve"> en Canadá, G.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Guyatt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 xml:space="preserve"> acuñó el término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“Medicina Basada en la Evidencia” (MBE) dando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un nuevo enfoque a la docencia y práctica de la medicina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y resaltando la importancia del examen crítico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de las pruebas o “evidencias” procedentes de 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 xml:space="preserve">investigación. </w:t>
      </w:r>
    </w:p>
    <w:p w:rsidR="00090C39" w:rsidRDefault="001105AD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1105AD">
        <w:rPr>
          <w:rFonts w:ascii="Arial" w:hAnsi="Arial" w:cs="Arial"/>
          <w:color w:val="231F20"/>
          <w:sz w:val="24"/>
          <w:szCs w:val="24"/>
        </w:rPr>
        <w:t>La MBE generó una fuerte polémica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entre los defensores de la nueva postura y de la “medicina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tradicional”; para los primeros fue un nuevo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paradigma el ejercicio de la medicina y una filosofía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de la práctica y la docencia clínica, con este enfoque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ya no bastaría sólo la experiencia, sino que era obligatoria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la evidencia científica para tomar decisiones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clínicas acertadas. Los detractores lo consideraron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como una exageración, la “deshumanización” de 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medicina; la transformación de los clínicos en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meros “aplicadores de recetas de cocina”; destruyendo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así la relación médico-paciente. Afortunadamente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en la actualidad se han reducido las diferencias que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parecían irreconciliables. La propuesta actual de 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MBE es emplear la mejor evidencia disponible para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>la toma de decisiones clínicas, sin desconocer la importancia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105AD">
        <w:rPr>
          <w:rFonts w:ascii="Arial" w:hAnsi="Arial" w:cs="Arial"/>
          <w:color w:val="231F20"/>
          <w:sz w:val="24"/>
          <w:szCs w:val="24"/>
        </w:rPr>
        <w:t xml:space="preserve">de la experiencia. La MBE propone como mayor grado de evidencia a las revisiones sistemáticas (RS) </w:t>
      </w:r>
      <w:proofErr w:type="gramStart"/>
      <w:r w:rsidRPr="001105AD">
        <w:rPr>
          <w:rFonts w:ascii="Arial" w:hAnsi="Arial" w:cs="Arial"/>
          <w:color w:val="231F20"/>
          <w:sz w:val="24"/>
          <w:szCs w:val="24"/>
        </w:rPr>
        <w:t>el</w:t>
      </w:r>
      <w:proofErr w:type="gramEnd"/>
      <w:r w:rsidRPr="001105AD">
        <w:rPr>
          <w:rFonts w:ascii="Arial" w:hAnsi="Arial" w:cs="Arial"/>
          <w:color w:val="231F20"/>
          <w:sz w:val="24"/>
          <w:szCs w:val="24"/>
        </w:rPr>
        <w:t xml:space="preserve"> meta-análisis y los ensayos clínicos </w:t>
      </w:r>
      <w:proofErr w:type="spellStart"/>
      <w:r w:rsidRPr="001105AD">
        <w:rPr>
          <w:rFonts w:ascii="Arial" w:hAnsi="Arial" w:cs="Arial"/>
          <w:color w:val="231F20"/>
          <w:sz w:val="24"/>
          <w:szCs w:val="24"/>
        </w:rPr>
        <w:t>aleatorizados</w:t>
      </w:r>
      <w:proofErr w:type="spellEnd"/>
      <w:r w:rsidRPr="001105AD">
        <w:rPr>
          <w:rFonts w:ascii="Arial" w:hAnsi="Arial" w:cs="Arial"/>
          <w:color w:val="231F20"/>
          <w:sz w:val="24"/>
          <w:szCs w:val="24"/>
        </w:rPr>
        <w:t xml:space="preserve">. Si bien la evidencia se considera siempre </w:t>
      </w:r>
      <w:r>
        <w:rPr>
          <w:rFonts w:ascii="Arial" w:hAnsi="Arial" w:cs="Arial"/>
          <w:color w:val="231F20"/>
          <w:sz w:val="24"/>
          <w:szCs w:val="24"/>
        </w:rPr>
        <w:t xml:space="preserve">necesaria, </w:t>
      </w:r>
      <w:r w:rsidRPr="001105AD">
        <w:rPr>
          <w:rFonts w:ascii="Arial" w:hAnsi="Arial" w:cs="Arial"/>
          <w:color w:val="231F20"/>
          <w:sz w:val="24"/>
          <w:szCs w:val="24"/>
        </w:rPr>
        <w:t xml:space="preserve">existen otros factores a considerar al tiempo de tomar decisiones, lo que nos lleva a la segunda propuesta de la MBE: el uso de la evidencia debe ser explícito y juicioso. La aplicación indiscriminada de evidencia sería en extremo peligrosa, pero la integración con criterio de la evidencia con otros factores determinantes, </w:t>
      </w:r>
      <w:r w:rsidRPr="001105AD">
        <w:rPr>
          <w:rFonts w:ascii="Arial" w:hAnsi="Arial" w:cs="Arial"/>
          <w:color w:val="231F20"/>
          <w:sz w:val="24"/>
          <w:szCs w:val="24"/>
        </w:rPr>
        <w:lastRenderedPageBreak/>
        <w:t xml:space="preserve">permitirán a nuestros pacientes beneficiarse de la mejor decisión. </w:t>
      </w:r>
      <w:r>
        <w:rPr>
          <w:rFonts w:ascii="Arial" w:hAnsi="Arial" w:cs="Arial"/>
          <w:color w:val="231F20"/>
          <w:sz w:val="24"/>
          <w:szCs w:val="24"/>
        </w:rPr>
        <w:t xml:space="preserve">La MBE </w:t>
      </w:r>
      <w:r w:rsidRPr="001105AD">
        <w:rPr>
          <w:rFonts w:ascii="Arial" w:hAnsi="Arial" w:cs="Arial"/>
          <w:color w:val="231F20"/>
          <w:sz w:val="24"/>
          <w:szCs w:val="24"/>
        </w:rPr>
        <w:t>consiste en el uso consciente, explícito y juicioso de las mejores y más actuales pruebas en la toma de decisiones sobre la atención integral de cada individuo, no sólo sobre su enfermedad o proceso, comprendiendo desde la realización de diagnósticos precisos, atención eficiente y la identificación y consideración de los principios, preferencias y derechos de los pacientes.</w:t>
      </w:r>
    </w:p>
    <w:p w:rsidR="00447705" w:rsidRDefault="00447705" w:rsidP="004477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31F20"/>
          <w:sz w:val="24"/>
          <w:szCs w:val="20"/>
        </w:rPr>
      </w:pPr>
    </w:p>
    <w:p w:rsidR="001105AD" w:rsidRDefault="001105AD" w:rsidP="004477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31F20"/>
          <w:sz w:val="24"/>
          <w:szCs w:val="20"/>
        </w:rPr>
      </w:pPr>
      <w:r w:rsidRPr="008929BF">
        <w:rPr>
          <w:rFonts w:ascii="Arial" w:hAnsi="Arial" w:cs="Arial"/>
          <w:b/>
          <w:bCs/>
          <w:color w:val="231F20"/>
          <w:sz w:val="24"/>
          <w:szCs w:val="20"/>
        </w:rPr>
        <w:t>¿Cuáles son las aplicaciones de la MBE?</w:t>
      </w:r>
    </w:p>
    <w:p w:rsidR="008929BF" w:rsidRPr="008929BF" w:rsidRDefault="008929BF" w:rsidP="004477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31F20"/>
          <w:sz w:val="24"/>
          <w:szCs w:val="20"/>
        </w:rPr>
      </w:pPr>
    </w:p>
    <w:p w:rsidR="008929BF" w:rsidRPr="008929BF" w:rsidRDefault="001105AD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8929BF">
        <w:rPr>
          <w:rFonts w:ascii="Arial" w:hAnsi="Arial" w:cs="Arial"/>
          <w:color w:val="231F20"/>
          <w:sz w:val="24"/>
          <w:szCs w:val="20"/>
        </w:rPr>
        <w:t>La MBE puede aplicarse en el trabajo diario con cualquier</w:t>
      </w:r>
      <w:r w:rsidR="008929BF" w:rsidRPr="008929BF">
        <w:rPr>
          <w:rFonts w:ascii="Arial" w:hAnsi="Arial" w:cs="Arial"/>
          <w:color w:val="231F20"/>
          <w:sz w:val="24"/>
          <w:szCs w:val="20"/>
        </w:rPr>
        <w:t xml:space="preserve"> </w:t>
      </w:r>
      <w:r w:rsidRPr="008929BF">
        <w:rPr>
          <w:rFonts w:ascii="Arial" w:hAnsi="Arial" w:cs="Arial"/>
          <w:color w:val="231F20"/>
          <w:sz w:val="24"/>
          <w:szCs w:val="20"/>
        </w:rPr>
        <w:t>tipo de intervención clínica, ya sea diagnóstica, te</w:t>
      </w:r>
      <w:r w:rsidR="008929BF" w:rsidRPr="008929BF">
        <w:rPr>
          <w:rFonts w:ascii="Arial" w:hAnsi="Arial" w:cs="Arial"/>
          <w:color w:val="231F20"/>
          <w:sz w:val="24"/>
          <w:szCs w:val="24"/>
        </w:rPr>
        <w:t>rapéutica o preventiva; optimiza el tiempo del clínico;</w:t>
      </w:r>
    </w:p>
    <w:p w:rsidR="0013586C" w:rsidRDefault="008929BF" w:rsidP="00447705">
      <w:pPr>
        <w:autoSpaceDE w:val="0"/>
        <w:autoSpaceDN w:val="0"/>
        <w:adjustRightInd w:val="0"/>
        <w:spacing w:after="0"/>
        <w:jc w:val="both"/>
      </w:pPr>
      <w:proofErr w:type="gramStart"/>
      <w:r w:rsidRPr="008929BF">
        <w:rPr>
          <w:rFonts w:ascii="Arial" w:hAnsi="Arial" w:cs="Arial"/>
          <w:color w:val="231F20"/>
          <w:sz w:val="24"/>
          <w:szCs w:val="24"/>
        </w:rPr>
        <w:t>mejora</w:t>
      </w:r>
      <w:proofErr w:type="gramEnd"/>
      <w:r w:rsidRPr="008929BF">
        <w:rPr>
          <w:rFonts w:ascii="Arial" w:hAnsi="Arial" w:cs="Arial"/>
          <w:color w:val="231F20"/>
          <w:sz w:val="24"/>
          <w:szCs w:val="24"/>
        </w:rPr>
        <w:t xml:space="preserve"> el acceso a la información y contribuye a disminuir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8929BF">
        <w:rPr>
          <w:rFonts w:ascii="Arial" w:hAnsi="Arial" w:cs="Arial"/>
          <w:color w:val="231F20"/>
          <w:sz w:val="24"/>
          <w:szCs w:val="24"/>
        </w:rPr>
        <w:t>la incertidumbre. Aun cuando nuestra experiencia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8929BF">
        <w:rPr>
          <w:rFonts w:ascii="Arial" w:hAnsi="Arial" w:cs="Arial"/>
          <w:color w:val="231F20"/>
          <w:sz w:val="24"/>
          <w:szCs w:val="24"/>
        </w:rPr>
        <w:t>clínica y práctica no siga estrictamente las recomendaciones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8929BF">
        <w:rPr>
          <w:rFonts w:ascii="Arial" w:hAnsi="Arial" w:cs="Arial"/>
          <w:color w:val="231F20"/>
          <w:sz w:val="24"/>
          <w:szCs w:val="24"/>
        </w:rPr>
        <w:t>de la literatura, la decisión que finalmente adoptemos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8929BF">
        <w:rPr>
          <w:rFonts w:ascii="Arial" w:hAnsi="Arial" w:cs="Arial"/>
          <w:color w:val="231F20"/>
          <w:sz w:val="24"/>
          <w:szCs w:val="24"/>
        </w:rPr>
        <w:t>posiblemente estará más contrastada y razonada.</w:t>
      </w:r>
      <w:r w:rsidRPr="008929BF">
        <w:t xml:space="preserve"> </w:t>
      </w:r>
    </w:p>
    <w:p w:rsidR="00447705" w:rsidRDefault="00447705" w:rsidP="00447705">
      <w:pPr>
        <w:autoSpaceDE w:val="0"/>
        <w:autoSpaceDN w:val="0"/>
        <w:adjustRightInd w:val="0"/>
        <w:spacing w:after="0"/>
        <w:jc w:val="both"/>
      </w:pPr>
    </w:p>
    <w:p w:rsidR="00447705" w:rsidRDefault="00447705" w:rsidP="00447705">
      <w:pPr>
        <w:autoSpaceDE w:val="0"/>
        <w:autoSpaceDN w:val="0"/>
        <w:adjustRightInd w:val="0"/>
        <w:spacing w:after="0"/>
        <w:jc w:val="center"/>
      </w:pPr>
      <w:r>
        <w:rPr>
          <w:noProof/>
          <w:lang w:eastAsia="es-MX"/>
        </w:rPr>
        <w:drawing>
          <wp:inline distT="0" distB="0" distL="0" distR="0">
            <wp:extent cx="4271749" cy="1978925"/>
            <wp:effectExtent l="0" t="0" r="0" b="2275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47705" w:rsidRDefault="00447705" w:rsidP="00447705">
      <w:pPr>
        <w:autoSpaceDE w:val="0"/>
        <w:autoSpaceDN w:val="0"/>
        <w:adjustRightInd w:val="0"/>
        <w:spacing w:after="0"/>
        <w:jc w:val="both"/>
      </w:pPr>
    </w:p>
    <w:p w:rsidR="0013586C" w:rsidRDefault="0013586C" w:rsidP="00447705">
      <w:pPr>
        <w:autoSpaceDE w:val="0"/>
        <w:autoSpaceDN w:val="0"/>
        <w:adjustRightInd w:val="0"/>
        <w:spacing w:after="0"/>
        <w:jc w:val="both"/>
      </w:pPr>
    </w:p>
    <w:p w:rsidR="0013586C" w:rsidRPr="0013586C" w:rsidRDefault="0013586C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3586C" w:rsidRPr="0013586C" w:rsidRDefault="0013586C" w:rsidP="004477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0"/>
        </w:rPr>
      </w:pPr>
      <w:r w:rsidRPr="0013586C">
        <w:rPr>
          <w:rFonts w:ascii="Arial" w:hAnsi="Arial" w:cs="Arial"/>
          <w:b/>
          <w:bCs/>
          <w:color w:val="000000"/>
          <w:sz w:val="24"/>
          <w:szCs w:val="14"/>
          <w:shd w:val="clear" w:color="auto" w:fill="FFFFFF"/>
        </w:rPr>
        <w:t>Jerarquía de la evidencia</w:t>
      </w:r>
    </w:p>
    <w:p w:rsidR="0013586C" w:rsidRDefault="0013586C" w:rsidP="00447705">
      <w:pPr>
        <w:autoSpaceDE w:val="0"/>
        <w:autoSpaceDN w:val="0"/>
        <w:adjustRightInd w:val="0"/>
        <w:spacing w:after="0"/>
        <w:jc w:val="both"/>
      </w:pPr>
    </w:p>
    <w:p w:rsidR="001105AD" w:rsidRDefault="008929BF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247640" cy="1235075"/>
            <wp:effectExtent l="19050" t="0" r="0" b="0"/>
            <wp:docPr id="1" name="Imagen 1" descr="http://www.scielo.cl/fbpe/img/rmc/v131n8/tabpag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cl/fbpe/img/rmc/v131n8/tabpag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6C" w:rsidRPr="0013586C" w:rsidRDefault="0013586C" w:rsidP="00447705">
      <w:pPr>
        <w:spacing w:after="0"/>
        <w:rPr>
          <w:rFonts w:ascii="Arial" w:eastAsia="Times New Roman" w:hAnsi="Arial" w:cs="Arial"/>
          <w:sz w:val="24"/>
          <w:szCs w:val="24"/>
          <w:lang w:eastAsia="es-MX"/>
        </w:rPr>
      </w:pPr>
      <w:r w:rsidRPr="0013586C">
        <w:rPr>
          <w:rFonts w:ascii="Arial" w:eastAsia="Times New Roman" w:hAnsi="Arial" w:cs="Arial"/>
          <w:sz w:val="24"/>
          <w:szCs w:val="24"/>
          <w:lang w:eastAsia="es-MX"/>
        </w:rPr>
        <w:t xml:space="preserve">+= </w:t>
      </w:r>
      <w:proofErr w:type="gramStart"/>
      <w:r w:rsidRPr="0013586C">
        <w:rPr>
          <w:rFonts w:ascii="Arial" w:eastAsia="Times New Roman" w:hAnsi="Arial" w:cs="Arial"/>
          <w:sz w:val="24"/>
          <w:szCs w:val="24"/>
          <w:lang w:eastAsia="es-MX"/>
        </w:rPr>
        <w:t>mínimo</w:t>
      </w:r>
      <w:proofErr w:type="gramEnd"/>
      <w:r w:rsidRPr="0013586C">
        <w:rPr>
          <w:rFonts w:ascii="Arial" w:eastAsia="Times New Roman" w:hAnsi="Arial" w:cs="Arial"/>
          <w:sz w:val="24"/>
          <w:szCs w:val="24"/>
          <w:lang w:eastAsia="es-MX"/>
        </w:rPr>
        <w:t xml:space="preserve"> sesgo           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</w:t>
      </w:r>
      <w:r w:rsidRPr="0013586C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++++= máximo sesgo</w:t>
      </w:r>
    </w:p>
    <w:p w:rsidR="0013586C" w:rsidRDefault="0013586C" w:rsidP="00447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</w:p>
    <w:p w:rsidR="00447705" w:rsidRPr="00447705" w:rsidRDefault="00447705" w:rsidP="00447705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14"/>
        </w:rPr>
      </w:pPr>
      <w:r w:rsidRPr="00447705">
        <w:rPr>
          <w:rFonts w:ascii="Arial" w:hAnsi="Arial" w:cs="Arial"/>
          <w:color w:val="000000"/>
          <w:szCs w:val="14"/>
        </w:rPr>
        <w:lastRenderedPageBreak/>
        <w:t>Hay múltiples factores a considerar al momento de tomar una decisión clínica, lo que nos lleva a la segunda propuesta de la MBE: el uso de la evidencia debe ser explícito y juicioso, vale decir que es importante cómo integramos la evidencia a nuestras decisiones. La aplicación indiscriminada de evidencia, aunque sea de alta jerarquía, sería en extremo peligrosa, pero la integración con buen criterio de la evidencia a otros factores determinantes en la toma de decisiones permitirán a nuestros pacientes beneficiarse de la mejor decisión.</w:t>
      </w:r>
    </w:p>
    <w:p w:rsidR="00447705" w:rsidRDefault="00447705" w:rsidP="00447705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14"/>
        </w:rPr>
      </w:pPr>
      <w:r w:rsidRPr="00447705">
        <w:rPr>
          <w:rFonts w:ascii="Arial" w:hAnsi="Arial" w:cs="Arial"/>
          <w:color w:val="000000"/>
          <w:szCs w:val="14"/>
        </w:rPr>
        <w:t>El uso explícito y juicioso de la mejor evidencia disponible en la toma de decisiones frente a un paciente, no tiene por qué deteriorar la relación médico-paciente. Hacer este proceso explícito, informando al paciente y haciéndolo partícipe en las decisiones, crea una relación médico-paciente más transparente y participativa. No se debe confundir la toma de decisiones con la relación médico-paciente, ni las múltiples razones para la deshumanización de la medicina y el deterioro de la relación médico-paciente.</w:t>
      </w:r>
    </w:p>
    <w:p w:rsidR="00447705" w:rsidRPr="00447705" w:rsidRDefault="00447705" w:rsidP="00447705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Cs w:val="14"/>
        </w:rPr>
      </w:pPr>
      <w:r>
        <w:rPr>
          <w:rFonts w:ascii="Helvetica-Bold" w:hAnsi="Helvetica-Bold" w:cs="Helvetica-Bold"/>
          <w:b/>
          <w:bCs/>
          <w:color w:val="231F20"/>
          <w:sz w:val="20"/>
          <w:szCs w:val="20"/>
        </w:rPr>
        <w:t>¿Cómo practicar la MBE?</w:t>
      </w:r>
    </w:p>
    <w:p w:rsidR="00447705" w:rsidRPr="00DE2BDF" w:rsidRDefault="00447705" w:rsidP="00DE2BD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  <w:sz w:val="24"/>
          <w:szCs w:val="20"/>
        </w:rPr>
      </w:pPr>
      <w:r w:rsidRPr="00DE2BDF">
        <w:rPr>
          <w:rFonts w:ascii="Arial" w:hAnsi="Arial" w:cs="Arial"/>
          <w:i/>
          <w:color w:val="231F20"/>
          <w:sz w:val="24"/>
          <w:szCs w:val="20"/>
        </w:rPr>
        <w:t>Formular la pregunta</w:t>
      </w:r>
    </w:p>
    <w:p w:rsidR="00DE2BDF" w:rsidRPr="00DE2BDF" w:rsidRDefault="00DE2BDF" w:rsidP="00DE2BD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  <w:sz w:val="24"/>
          <w:szCs w:val="20"/>
        </w:rPr>
      </w:pPr>
    </w:p>
    <w:p w:rsidR="00447705" w:rsidRDefault="00447705" w:rsidP="0044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231F20"/>
          <w:sz w:val="24"/>
          <w:szCs w:val="20"/>
          <w:lang w:eastAsia="es-MX"/>
        </w:rPr>
      </w:pPr>
      <w:r w:rsidRPr="00447705">
        <w:rPr>
          <w:rFonts w:ascii="Arial" w:hAnsi="Arial" w:cs="Arial"/>
          <w:color w:val="231F20"/>
          <w:sz w:val="24"/>
          <w:szCs w:val="20"/>
        </w:rPr>
        <w:t>Consiste en convertir las necesidades de información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447705">
        <w:rPr>
          <w:rFonts w:ascii="Arial" w:hAnsi="Arial" w:cs="Arial"/>
          <w:color w:val="231F20"/>
          <w:sz w:val="24"/>
          <w:szCs w:val="20"/>
        </w:rPr>
        <w:t>que surgen durante la atención del paciente, en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447705">
        <w:rPr>
          <w:rFonts w:ascii="Arial" w:hAnsi="Arial" w:cs="Arial"/>
          <w:color w:val="231F20"/>
          <w:sz w:val="24"/>
          <w:szCs w:val="20"/>
        </w:rPr>
        <w:t>una pregunta simple y claramente definida, que permita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447705">
        <w:rPr>
          <w:rFonts w:ascii="Arial" w:hAnsi="Arial" w:cs="Arial"/>
          <w:color w:val="231F20"/>
          <w:sz w:val="24"/>
          <w:szCs w:val="20"/>
        </w:rPr>
        <w:t>encontrar la información que dé respuesta a la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447705">
        <w:rPr>
          <w:rFonts w:ascii="Arial" w:hAnsi="Arial" w:cs="Arial"/>
          <w:color w:val="231F20"/>
          <w:sz w:val="24"/>
          <w:szCs w:val="20"/>
        </w:rPr>
        <w:t>interrogante.</w:t>
      </w:r>
    </w:p>
    <w:p w:rsidR="00DE2BDF" w:rsidRDefault="001E636C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noProof/>
          <w:color w:val="231F20"/>
          <w:sz w:val="24"/>
          <w:szCs w:val="20"/>
          <w:lang w:eastAsia="es-MX"/>
        </w:rPr>
        <w:pict>
          <v:rect id="_x0000_s1026" style="position:absolute;margin-left:161.55pt;margin-top:13.5pt;width:134.9pt;height:29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1E636C" w:rsidRPr="001E636C" w:rsidRDefault="001E636C" w:rsidP="001E6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Incertidumbre en la toma de decisiones</w:t>
                  </w:r>
                </w:p>
              </w:txbxContent>
            </v:textbox>
          </v:rect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noProof/>
          <w:color w:val="231F20"/>
          <w:sz w:val="24"/>
          <w:szCs w:val="20"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19.6pt;margin-top:7.2pt;width:21.5pt;height:12.9pt;z-index:251664384">
            <v:textbox style="layout-flow:vertical-ideographic"/>
          </v:shape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CenturySchoolbookBT-Roman" w:hAnsi="CenturySchoolbookBT-Roman" w:cs="CenturySchoolbookBT-Roman"/>
          <w:noProof/>
          <w:color w:val="231F20"/>
          <w:sz w:val="16"/>
          <w:szCs w:val="16"/>
          <w:lang w:eastAsia="es-MX"/>
        </w:rPr>
        <w:pict>
          <v:rect id="_x0000_s1028" style="position:absolute;margin-left:161.55pt;margin-top:9.55pt;width:134.9pt;height:28.55pt;z-index:251659264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DE2BDF" w:rsidRPr="001E636C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1. Estructurar una pregunta clínica específica</w:t>
                  </w:r>
                </w:p>
              </w:txbxContent>
            </v:textbox>
          </v:rect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noProof/>
          <w:color w:val="231F20"/>
          <w:sz w:val="24"/>
          <w:szCs w:val="20"/>
          <w:lang w:eastAsia="es-MX"/>
        </w:rPr>
        <w:pict>
          <v:shape id="_x0000_s1034" type="#_x0000_t67" style="position:absolute;margin-left:219.6pt;margin-top:.95pt;width:21.5pt;height:18.25pt;z-index:251665408">
            <v:textbox style="layout-flow:vertical-ideographic"/>
          </v:shape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CenturySchoolbookBT-Roman" w:hAnsi="CenturySchoolbookBT-Roman" w:cs="CenturySchoolbookBT-Roman"/>
          <w:noProof/>
          <w:color w:val="231F20"/>
          <w:sz w:val="16"/>
          <w:szCs w:val="16"/>
          <w:lang w:eastAsia="es-MX"/>
        </w:rPr>
        <w:pict>
          <v:rect id="_x0000_s1029" style="position:absolute;margin-left:161.55pt;margin-top:5.4pt;width:134.9pt;height:29.55pt;z-index:251660288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DE2BDF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2. Realizar una búsqueda eficiente en la</w:t>
                  </w:r>
                </w:p>
                <w:p w:rsidR="00DE2BDF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literatura</w:t>
                  </w:r>
                  <w:proofErr w:type="gramEnd"/>
                </w:p>
                <w:p w:rsidR="00DE2BDF" w:rsidRPr="00DE2BDF" w:rsidRDefault="00DE2BDF" w:rsidP="00DE2BDF"/>
              </w:txbxContent>
            </v:textbox>
          </v:rect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noProof/>
          <w:color w:val="231F20"/>
          <w:sz w:val="24"/>
          <w:szCs w:val="20"/>
          <w:lang w:eastAsia="es-MX"/>
        </w:rPr>
        <w:pict>
          <v:shape id="_x0000_s1035" type="#_x0000_t67" style="position:absolute;margin-left:219.6pt;margin-top:.75pt;width:21.5pt;height:16.45pt;z-index:251666432">
            <v:textbox style="layout-flow:vertical-ideographic"/>
          </v:shape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CenturySchoolbookBT-Roman" w:hAnsi="CenturySchoolbookBT-Roman" w:cs="CenturySchoolbookBT-Roman"/>
          <w:noProof/>
          <w:color w:val="231F20"/>
          <w:sz w:val="16"/>
          <w:szCs w:val="16"/>
          <w:lang w:eastAsia="es-MX"/>
        </w:rPr>
        <w:pict>
          <v:rect id="_x0000_s1030" style="position:absolute;margin-left:161.55pt;margin-top:3.4pt;width:134.9pt;height:74.3pt;z-index:251661312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DE2BDF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3. Efectuar el análisis crítico</w:t>
                  </w:r>
                </w:p>
                <w:p w:rsidR="00DE2BDF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- validez interna</w:t>
                  </w:r>
                </w:p>
                <w:p w:rsidR="00DE2BDF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- interpretación de resultados.</w:t>
                  </w:r>
                </w:p>
                <w:p w:rsidR="00DE2BDF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- aplicabilidad o validez externa.</w:t>
                  </w:r>
                </w:p>
                <w:p w:rsidR="00DE2BDF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- preferencias del paciente.</w:t>
                  </w:r>
                </w:p>
                <w:p w:rsidR="00DE2BDF" w:rsidRPr="00DE2BDF" w:rsidRDefault="00DE2BDF" w:rsidP="00DE2BDF"/>
              </w:txbxContent>
            </v:textbox>
          </v:rect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noProof/>
          <w:color w:val="231F20"/>
          <w:sz w:val="24"/>
          <w:szCs w:val="20"/>
          <w:lang w:eastAsia="es-MX"/>
        </w:rPr>
        <w:pict>
          <v:shape id="_x0000_s1036" type="#_x0000_t67" style="position:absolute;margin-left:219.6pt;margin-top:.65pt;width:21.5pt;height:12.9pt;z-index:251667456">
            <v:textbox style="layout-flow:vertical-ideographic"/>
          </v:shape>
        </w:pict>
      </w:r>
      <w:r>
        <w:rPr>
          <w:rFonts w:ascii="CenturySchoolbookBT-Roman" w:hAnsi="CenturySchoolbookBT-Roman" w:cs="CenturySchoolbookBT-Roman"/>
          <w:noProof/>
          <w:color w:val="231F20"/>
          <w:sz w:val="16"/>
          <w:szCs w:val="16"/>
          <w:lang w:eastAsia="es-MX"/>
        </w:rPr>
        <w:pict>
          <v:rect id="_x0000_s1031" style="position:absolute;margin-left:161.55pt;margin-top:13.55pt;width:134.9pt;height:42.85pt;z-index:251662336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DE2BDF" w:rsidRPr="001E636C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Resolver la incertidumbre, implementar los hallazgos a la práctica clínica.</w:t>
                  </w:r>
                </w:p>
              </w:txbxContent>
            </v:textbox>
          </v:rect>
        </w:pict>
      </w: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DE2BDF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</w:p>
    <w:p w:rsidR="001E636C" w:rsidRDefault="00DE2BDF" w:rsidP="001E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noProof/>
          <w:color w:val="231F20"/>
          <w:sz w:val="24"/>
          <w:szCs w:val="20"/>
          <w:lang w:eastAsia="es-MX"/>
        </w:rPr>
        <w:pict>
          <v:shape id="_x0000_s1038" type="#_x0000_t67" style="position:absolute;margin-left:219.6pt;margin-top:19.45pt;width:21.5pt;height:19.9pt;z-index:251669504">
            <v:textbox style="layout-flow:vertical-ideographic"/>
          </v:shape>
        </w:pict>
      </w:r>
      <w:r>
        <w:rPr>
          <w:rFonts w:ascii="CenturySchoolbookBT-Roman" w:hAnsi="CenturySchoolbookBT-Roman" w:cs="CenturySchoolbookBT-Roman"/>
          <w:noProof/>
          <w:color w:val="231F20"/>
          <w:sz w:val="16"/>
          <w:szCs w:val="16"/>
          <w:lang w:eastAsia="es-MX"/>
        </w:rPr>
        <w:pict>
          <v:rect id="_x0000_s1032" style="position:absolute;margin-left:161.55pt;margin-top:39.35pt;width:134.9pt;height:20.85pt;z-index:251663360" fillcolor="#4bacc6 [3208]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DE2BDF" w:rsidRPr="001E636C" w:rsidRDefault="00DE2BDF" w:rsidP="00DE2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CenturySchoolbookBT-Roman" w:hAnsi="CenturySchoolbookBT-Roman" w:cs="CenturySchoolbookBT-Roman"/>
                      <w:color w:val="231F20"/>
                      <w:sz w:val="16"/>
                      <w:szCs w:val="16"/>
                    </w:rPr>
                    <w:t>Evaluación de los resultados.</w:t>
                  </w:r>
                </w:p>
              </w:txbxContent>
            </v:textbox>
          </v:rect>
        </w:pict>
      </w:r>
    </w:p>
    <w:p w:rsidR="00DE2BDF" w:rsidRPr="00FD3DD3" w:rsidRDefault="00DE2BDF" w:rsidP="00FD3D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31F20"/>
          <w:sz w:val="24"/>
          <w:szCs w:val="24"/>
        </w:rPr>
      </w:pPr>
      <w:r w:rsidRPr="00FD3DD3">
        <w:rPr>
          <w:rFonts w:ascii="Arial" w:hAnsi="Arial" w:cs="Arial"/>
          <w:i/>
          <w:color w:val="231F20"/>
          <w:sz w:val="24"/>
          <w:szCs w:val="24"/>
        </w:rPr>
        <w:lastRenderedPageBreak/>
        <w:t>Búsqueda eficiente</w:t>
      </w:r>
    </w:p>
    <w:p w:rsidR="00DE2BDF" w:rsidRPr="00DE2BDF" w:rsidRDefault="00DE2BDF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DE2BDF">
        <w:rPr>
          <w:rFonts w:ascii="Arial" w:hAnsi="Arial" w:cs="Arial"/>
          <w:color w:val="231F20"/>
          <w:sz w:val="24"/>
          <w:szCs w:val="24"/>
        </w:rPr>
        <w:t>El enorme desarrollo de la investigación científica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hace que el volumen de información sea inmanejable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para el clínico, usualmente con escaso tiempo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para dedicarse al estudio; se estima que se publican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dos millones de artículos por año en la bibliografía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biomédica, repartidos en más de 20,000 revistas.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Como respuesta, han surgido iniciativas de carácter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internacional como la Colaboración Cochrane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que promueven los llamados meta-análisis y revisiones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sistemáticas periódicas de todos los ensayos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 xml:space="preserve">controlados </w:t>
      </w:r>
      <w:proofErr w:type="spellStart"/>
      <w:r w:rsidRPr="00DE2BDF">
        <w:rPr>
          <w:rFonts w:ascii="Arial" w:hAnsi="Arial" w:cs="Arial"/>
          <w:color w:val="231F20"/>
          <w:sz w:val="24"/>
          <w:szCs w:val="24"/>
        </w:rPr>
        <w:t>aleatorizados</w:t>
      </w:r>
      <w:proofErr w:type="spellEnd"/>
      <w:r w:rsidRPr="00DE2BDF">
        <w:rPr>
          <w:rFonts w:ascii="Arial" w:hAnsi="Arial" w:cs="Arial"/>
          <w:color w:val="231F20"/>
          <w:sz w:val="24"/>
          <w:szCs w:val="24"/>
        </w:rPr>
        <w:t>, relevantes en materia</w:t>
      </w:r>
    </w:p>
    <w:p w:rsidR="00DE2BDF" w:rsidRPr="00DE2BDF" w:rsidRDefault="00DE2BDF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proofErr w:type="gramStart"/>
      <w:r w:rsidRPr="00DE2BDF">
        <w:rPr>
          <w:rFonts w:ascii="Arial" w:hAnsi="Arial" w:cs="Arial"/>
          <w:color w:val="231F20"/>
          <w:sz w:val="24"/>
          <w:szCs w:val="24"/>
        </w:rPr>
        <w:t>biosanitaria</w:t>
      </w:r>
      <w:proofErr w:type="spellEnd"/>
      <w:proofErr w:type="gramEnd"/>
      <w:r w:rsidRPr="00DE2BDF">
        <w:rPr>
          <w:rFonts w:ascii="Arial" w:hAnsi="Arial" w:cs="Arial"/>
          <w:color w:val="231F20"/>
          <w:sz w:val="24"/>
          <w:szCs w:val="24"/>
        </w:rPr>
        <w:t>.</w:t>
      </w:r>
    </w:p>
    <w:p w:rsidR="00DE2BDF" w:rsidRPr="00FD3DD3" w:rsidRDefault="00DE2BDF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31F20"/>
          <w:sz w:val="24"/>
          <w:szCs w:val="24"/>
        </w:rPr>
      </w:pPr>
    </w:p>
    <w:p w:rsidR="00DE2BDF" w:rsidRPr="00FD3DD3" w:rsidRDefault="00DE2BDF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31F20"/>
          <w:sz w:val="24"/>
          <w:szCs w:val="24"/>
        </w:rPr>
      </w:pPr>
      <w:r w:rsidRPr="00FD3DD3">
        <w:rPr>
          <w:rFonts w:ascii="Arial" w:hAnsi="Arial" w:cs="Arial"/>
          <w:i/>
          <w:color w:val="231F20"/>
          <w:sz w:val="24"/>
          <w:szCs w:val="24"/>
        </w:rPr>
        <w:t xml:space="preserve">     3. Análisis crítico</w:t>
      </w:r>
    </w:p>
    <w:p w:rsidR="00DE2BDF" w:rsidRDefault="00DE2BDF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DE2BDF">
        <w:rPr>
          <w:rFonts w:ascii="Arial" w:hAnsi="Arial" w:cs="Arial"/>
          <w:color w:val="231F20"/>
          <w:sz w:val="24"/>
          <w:szCs w:val="24"/>
        </w:rPr>
        <w:t>Este paso es crucial, ya que permite al clínico decidir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si un determinado artículo puede constituirse en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una guía útil; desafortunadamente, una proporción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alta de publicaciones carece de relevancia o tiene</w:t>
      </w:r>
      <w:r>
        <w:rPr>
          <w:rFonts w:ascii="Arial" w:hAnsi="Arial" w:cs="Arial"/>
          <w:color w:val="231F20"/>
          <w:sz w:val="24"/>
          <w:szCs w:val="24"/>
        </w:rPr>
        <w:t xml:space="preserve"> metodología deficiente. Existen </w:t>
      </w:r>
      <w:r w:rsidRPr="00DE2BDF">
        <w:rPr>
          <w:rFonts w:ascii="Arial" w:hAnsi="Arial" w:cs="Arial"/>
          <w:color w:val="231F20"/>
          <w:sz w:val="24"/>
          <w:szCs w:val="24"/>
        </w:rPr>
        <w:t>métodos de evaluación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crítica de la literatura; a través de un sistema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de interrogantes es posible determinar la validez y</w:t>
      </w:r>
      <w:r>
        <w:rPr>
          <w:rFonts w:ascii="Arial" w:hAnsi="Arial" w:cs="Arial"/>
          <w:color w:val="231F20"/>
          <w:sz w:val="24"/>
          <w:szCs w:val="24"/>
        </w:rPr>
        <w:t xml:space="preserve"> relevancia de la evidencia. </w:t>
      </w:r>
      <w:r w:rsidRPr="00DE2BDF">
        <w:rPr>
          <w:rFonts w:ascii="Arial" w:hAnsi="Arial" w:cs="Arial"/>
          <w:color w:val="231F20"/>
          <w:sz w:val="24"/>
          <w:szCs w:val="24"/>
        </w:rPr>
        <w:t>Diversos impresos permiten integrar las bases del método con su aplicación práctica; entre ellos destacan la serie de guías</w:t>
      </w:r>
      <w:r w:rsidR="00FD3DD3"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>publicadas en la revista JAMA y los impresos de la</w:t>
      </w:r>
      <w:r w:rsidR="00FD3DD3"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BDF">
        <w:rPr>
          <w:rFonts w:ascii="Arial" w:hAnsi="Arial" w:cs="Arial"/>
          <w:color w:val="231F20"/>
          <w:sz w:val="24"/>
          <w:szCs w:val="24"/>
        </w:rPr>
        <w:t xml:space="preserve">Universidad de </w:t>
      </w:r>
      <w:proofErr w:type="spellStart"/>
      <w:r w:rsidRPr="00DE2BDF">
        <w:rPr>
          <w:rFonts w:ascii="Arial" w:hAnsi="Arial" w:cs="Arial"/>
          <w:color w:val="231F20"/>
          <w:sz w:val="24"/>
          <w:szCs w:val="24"/>
        </w:rPr>
        <w:t>McMaster</w:t>
      </w:r>
      <w:proofErr w:type="spellEnd"/>
      <w:r w:rsidRPr="00DE2BDF">
        <w:rPr>
          <w:rFonts w:ascii="Arial" w:hAnsi="Arial" w:cs="Arial"/>
          <w:color w:val="231F20"/>
          <w:sz w:val="24"/>
          <w:szCs w:val="24"/>
        </w:rPr>
        <w:t>.</w:t>
      </w:r>
    </w:p>
    <w:p w:rsidR="00FD3DD3" w:rsidRDefault="00FD3DD3" w:rsidP="00FD3DD3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24"/>
          <w:szCs w:val="24"/>
        </w:rPr>
      </w:pPr>
    </w:p>
    <w:p w:rsidR="00FD3DD3" w:rsidRP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FD3DD3">
        <w:rPr>
          <w:rFonts w:ascii="Arial" w:hAnsi="Arial" w:cs="Arial"/>
          <w:b/>
          <w:bCs/>
          <w:color w:val="231F20"/>
          <w:sz w:val="24"/>
          <w:szCs w:val="24"/>
        </w:rPr>
        <w:t>MBE en México</w:t>
      </w:r>
    </w:p>
    <w:p w:rsid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FD3DD3">
        <w:rPr>
          <w:rFonts w:ascii="Arial" w:hAnsi="Arial" w:cs="Arial"/>
          <w:color w:val="231F20"/>
          <w:sz w:val="24"/>
          <w:szCs w:val="24"/>
        </w:rPr>
        <w:t>En nuestro país el establecimiento de la MBE ha</w:t>
      </w:r>
      <w:r>
        <w:rPr>
          <w:rFonts w:ascii="Arial" w:hAnsi="Arial" w:cs="Arial"/>
          <w:color w:val="231F20"/>
          <w:sz w:val="24"/>
          <w:szCs w:val="24"/>
        </w:rPr>
        <w:t xml:space="preserve"> c</w:t>
      </w:r>
      <w:r w:rsidRPr="00FD3DD3">
        <w:rPr>
          <w:rFonts w:ascii="Arial" w:hAnsi="Arial" w:cs="Arial"/>
          <w:color w:val="231F20"/>
          <w:sz w:val="24"/>
          <w:szCs w:val="24"/>
        </w:rPr>
        <w:t xml:space="preserve">ursado por varios caminos difíciles, ya que </w:t>
      </w:r>
      <w:r>
        <w:rPr>
          <w:rFonts w:ascii="Arial" w:hAnsi="Arial" w:cs="Arial"/>
          <w:color w:val="231F20"/>
          <w:sz w:val="24"/>
          <w:szCs w:val="24"/>
        </w:rPr>
        <w:t xml:space="preserve">ha habido </w:t>
      </w:r>
      <w:r w:rsidRPr="00FD3DD3">
        <w:rPr>
          <w:rFonts w:ascii="Arial" w:hAnsi="Arial" w:cs="Arial"/>
          <w:color w:val="231F20"/>
          <w:sz w:val="24"/>
          <w:szCs w:val="24"/>
        </w:rPr>
        <w:t>grupos interesados, que comenzaron por utilizarla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y enseñarla en su práctica profesional o institucional.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Existen organizaciones que han promovido la MBE,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realizando actividades académicas y educativas relacionadas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con el tema durante los últimos años, un evento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significativo fue el primer seminario internacional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de MBE en 1999 en la Ciudad de México, organizado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por el Centro Nacional de Información y Documentación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sobre Salud de la Secretaría de Salud. Además, 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Instituto Nacional de Salud Pública, a través del Centro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de Información para Decisiones en Salud, incorporó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nuestro país al programa de la Colaboración Cochrane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Iberoamericana, desde el 2000, con un proyecto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de trabajo muy importante que ha favorecido la elaboración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de revisiones sistemáticas en español y el estudio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de temas médicos relacionados a los países en vías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4"/>
        </w:rPr>
        <w:t>de desarrollo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4"/>
        </w:rPr>
      </w:pPr>
    </w:p>
    <w:p w:rsid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FD3DD3">
        <w:rPr>
          <w:rFonts w:ascii="Arial" w:hAnsi="Arial" w:cs="Arial"/>
          <w:b/>
          <w:color w:val="231F20"/>
          <w:sz w:val="24"/>
          <w:szCs w:val="24"/>
        </w:rPr>
        <w:t>Conclusiones:</w:t>
      </w:r>
    </w:p>
    <w:p w:rsid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FD3DD3" w:rsidRP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0"/>
        </w:rPr>
      </w:pPr>
      <w:r w:rsidRPr="00FD3DD3">
        <w:rPr>
          <w:rFonts w:ascii="Arial" w:hAnsi="Arial" w:cs="Arial"/>
          <w:color w:val="231F20"/>
          <w:sz w:val="24"/>
          <w:szCs w:val="20"/>
        </w:rPr>
        <w:t>La práctica clínica es y seguirá siendo, una experiencia</w:t>
      </w:r>
      <w:r>
        <w:rPr>
          <w:rFonts w:ascii="Arial" w:hAnsi="Arial" w:cs="Arial"/>
          <w:color w:val="231F20"/>
          <w:sz w:val="24"/>
          <w:szCs w:val="20"/>
        </w:rPr>
        <w:t xml:space="preserve"> de relación interpersonal, </w:t>
      </w:r>
      <w:r w:rsidRPr="00FD3DD3">
        <w:rPr>
          <w:rFonts w:ascii="Arial" w:hAnsi="Arial" w:cs="Arial"/>
          <w:color w:val="231F20"/>
          <w:sz w:val="24"/>
          <w:szCs w:val="20"/>
        </w:rPr>
        <w:t>en la que los valores,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las opiniones y la experiencia del médico, junto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con las preferencias de los pacientes, juegan el papel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más importante. Así el aspecto conceptual del razonamiento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clínico basado en la experiencia y de la medicina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lastRenderedPageBreak/>
        <w:t xml:space="preserve">basada en la evidencia </w:t>
      </w:r>
      <w:proofErr w:type="gramStart"/>
      <w:r w:rsidRPr="00FD3DD3">
        <w:rPr>
          <w:rFonts w:ascii="Arial" w:hAnsi="Arial" w:cs="Arial"/>
          <w:color w:val="231F20"/>
          <w:sz w:val="24"/>
          <w:szCs w:val="20"/>
        </w:rPr>
        <w:t>deben</w:t>
      </w:r>
      <w:proofErr w:type="gramEnd"/>
      <w:r w:rsidRPr="00FD3DD3">
        <w:rPr>
          <w:rFonts w:ascii="Arial" w:hAnsi="Arial" w:cs="Arial"/>
          <w:color w:val="231F20"/>
          <w:sz w:val="24"/>
          <w:szCs w:val="20"/>
        </w:rPr>
        <w:t xml:space="preserve"> abordarse con la sinergia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enriquecedora de ambos componentes. Se ofrece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así una atención de mayor calidad al paciente como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individuo y a la población general, meta primordial de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nuestra tarea.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Aunque aún quedan interrogantes como: ¿Cuánto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de la MBE conocemos y practicamos los clínicos?, ¿Qué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tipo de evidencia usamos en nuestra toma de decisiones?,</w:t>
      </w:r>
    </w:p>
    <w:p w:rsidR="00FD3DD3" w:rsidRP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0"/>
        </w:rPr>
      </w:pPr>
      <w:r w:rsidRPr="00FD3DD3">
        <w:rPr>
          <w:rFonts w:ascii="Arial" w:hAnsi="Arial" w:cs="Arial"/>
          <w:color w:val="231F20"/>
          <w:sz w:val="24"/>
          <w:szCs w:val="20"/>
        </w:rPr>
        <w:t>¿Cómo integramos la evidencia a la toma de decisiones?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La organización y sistematización de la formación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e información de los profesionales; la preocupación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por la mejora de la calidad asistencial y la puesta en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marcha de iniciativas y gestiones en esta línea, así como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la búsqueda de objetivos claros relacionados, representan</w:t>
      </w:r>
      <w:r>
        <w:rPr>
          <w:rFonts w:ascii="Arial" w:hAnsi="Arial" w:cs="Arial"/>
          <w:color w:val="231F20"/>
          <w:sz w:val="24"/>
          <w:szCs w:val="20"/>
        </w:rPr>
        <w:t xml:space="preserve"> </w:t>
      </w:r>
      <w:r w:rsidRPr="00FD3DD3">
        <w:rPr>
          <w:rFonts w:ascii="Arial" w:hAnsi="Arial" w:cs="Arial"/>
          <w:color w:val="231F20"/>
          <w:sz w:val="24"/>
          <w:szCs w:val="20"/>
        </w:rPr>
        <w:t>excelentes oportunidades para el fomento y desarrollo</w:t>
      </w:r>
    </w:p>
    <w:p w:rsid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0"/>
        </w:rPr>
      </w:pPr>
      <w:proofErr w:type="gramStart"/>
      <w:r w:rsidRPr="00FD3DD3">
        <w:rPr>
          <w:rFonts w:ascii="Arial" w:hAnsi="Arial" w:cs="Arial"/>
          <w:color w:val="231F20"/>
          <w:sz w:val="24"/>
          <w:szCs w:val="20"/>
        </w:rPr>
        <w:t>de</w:t>
      </w:r>
      <w:proofErr w:type="gramEnd"/>
      <w:r w:rsidRPr="00FD3DD3">
        <w:rPr>
          <w:rFonts w:ascii="Arial" w:hAnsi="Arial" w:cs="Arial"/>
          <w:color w:val="231F20"/>
          <w:sz w:val="24"/>
          <w:szCs w:val="20"/>
        </w:rPr>
        <w:t xml:space="preserve"> la MBE</w:t>
      </w:r>
      <w:r>
        <w:rPr>
          <w:rFonts w:ascii="Arial" w:hAnsi="Arial" w:cs="Arial"/>
          <w:color w:val="231F20"/>
          <w:sz w:val="24"/>
          <w:szCs w:val="20"/>
        </w:rPr>
        <w:t>.</w:t>
      </w:r>
    </w:p>
    <w:p w:rsidR="00FD3DD3" w:rsidRDefault="00FD3DD3" w:rsidP="00FD3D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24"/>
          <w:szCs w:val="20"/>
        </w:rPr>
      </w:pPr>
    </w:p>
    <w:p w:rsidR="00FD3DD3" w:rsidRDefault="00FD3DD3" w:rsidP="00FD3D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color w:val="231F20"/>
          <w:sz w:val="24"/>
          <w:szCs w:val="20"/>
        </w:rPr>
        <w:t>BIBLIOGRAFIA:</w:t>
      </w:r>
    </w:p>
    <w:p w:rsidR="00FD3DD3" w:rsidRPr="00385540" w:rsidRDefault="00FD3DD3" w:rsidP="003855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  <w:sz w:val="24"/>
          <w:szCs w:val="28"/>
        </w:rPr>
      </w:pPr>
      <w:r w:rsidRPr="00385540">
        <w:rPr>
          <w:rFonts w:ascii="Helvetica-Bold" w:hAnsi="Helvetica-Bold" w:cs="Helvetica-Bold"/>
          <w:b/>
          <w:bCs/>
          <w:color w:val="231F20"/>
          <w:sz w:val="24"/>
          <w:szCs w:val="28"/>
        </w:rPr>
        <w:t>Artículo de revisión</w:t>
      </w:r>
    </w:p>
    <w:p w:rsidR="00FD3DD3" w:rsidRPr="00FD3DD3" w:rsidRDefault="00FD3DD3" w:rsidP="00FD3D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  <w:sz w:val="16"/>
          <w:szCs w:val="20"/>
        </w:rPr>
      </w:pPr>
      <w:r w:rsidRPr="00FD3DD3">
        <w:rPr>
          <w:rFonts w:ascii="Helvetica-Bold" w:hAnsi="Helvetica-Bold" w:cs="Helvetica-Bold"/>
          <w:b/>
          <w:bCs/>
          <w:color w:val="231F20"/>
          <w:sz w:val="16"/>
          <w:szCs w:val="20"/>
        </w:rPr>
        <w:t>Médica Sur, México 9</w:t>
      </w:r>
    </w:p>
    <w:p w:rsidR="00FD3DD3" w:rsidRPr="00FD3DD3" w:rsidRDefault="00FD3DD3" w:rsidP="00FD3D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EEEEF"/>
          <w:sz w:val="44"/>
          <w:szCs w:val="48"/>
        </w:rPr>
      </w:pPr>
      <w:r w:rsidRPr="00FD3DD3">
        <w:rPr>
          <w:rFonts w:ascii="Helvetica-Bold" w:hAnsi="Helvetica-Bold" w:cs="Helvetica-Bold"/>
          <w:b/>
          <w:bCs/>
          <w:color w:val="EEEEEF"/>
          <w:sz w:val="44"/>
          <w:szCs w:val="48"/>
        </w:rPr>
        <w:t>medigraphic.com</w:t>
      </w:r>
    </w:p>
    <w:p w:rsidR="00FD3DD3" w:rsidRPr="00FD3DD3" w:rsidRDefault="00FD3DD3" w:rsidP="00FD3DD3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color w:val="231F20"/>
          <w:sz w:val="16"/>
          <w:szCs w:val="16"/>
        </w:rPr>
      </w:pPr>
      <w:r w:rsidRPr="00FD3DD3">
        <w:rPr>
          <w:rFonts w:ascii="CenturySchoolbookBT-Roman" w:hAnsi="CenturySchoolbookBT-Roman" w:cs="CenturySchoolbookBT-Roman"/>
          <w:color w:val="231F20"/>
          <w:sz w:val="16"/>
          <w:szCs w:val="16"/>
        </w:rPr>
        <w:t>* Centro Oncológico Diana Laura Riojas de Colosio.</w:t>
      </w:r>
    </w:p>
    <w:p w:rsidR="00FD3DD3" w:rsidRPr="00FD3DD3" w:rsidRDefault="00FD3DD3" w:rsidP="00FD3DD3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color w:val="231F20"/>
          <w:sz w:val="16"/>
          <w:szCs w:val="16"/>
        </w:rPr>
      </w:pPr>
      <w:r w:rsidRPr="00FD3DD3">
        <w:rPr>
          <w:rFonts w:ascii="CenturySchoolbookBT-Roman" w:hAnsi="CenturySchoolbookBT-Roman" w:cs="CenturySchoolbookBT-Roman"/>
          <w:color w:val="231F20"/>
          <w:sz w:val="16"/>
          <w:szCs w:val="16"/>
        </w:rPr>
        <w:t>Fundación Clínica Médica Sur, México, D.F.</w:t>
      </w:r>
    </w:p>
    <w:p w:rsidR="00FD3DD3" w:rsidRPr="00FD3DD3" w:rsidRDefault="00FD3DD3" w:rsidP="00FD3D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  <w:sz w:val="36"/>
          <w:szCs w:val="44"/>
        </w:rPr>
      </w:pPr>
      <w:r w:rsidRPr="00FD3DD3">
        <w:rPr>
          <w:rFonts w:ascii="Helvetica-Bold" w:hAnsi="Helvetica-Bold" w:cs="Helvetica-Bold"/>
          <w:b/>
          <w:bCs/>
          <w:color w:val="231F20"/>
          <w:sz w:val="36"/>
          <w:szCs w:val="44"/>
        </w:rPr>
        <w:t>Importancia de la medicina basada en evidencias</w:t>
      </w:r>
    </w:p>
    <w:p w:rsidR="00FD3DD3" w:rsidRPr="00FD3DD3" w:rsidRDefault="00FD3DD3" w:rsidP="00FD3D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  <w:sz w:val="36"/>
          <w:szCs w:val="44"/>
        </w:rPr>
      </w:pPr>
      <w:proofErr w:type="gramStart"/>
      <w:r w:rsidRPr="00FD3DD3">
        <w:rPr>
          <w:rFonts w:ascii="Helvetica-Bold" w:hAnsi="Helvetica-Bold" w:cs="Helvetica-Bold"/>
          <w:b/>
          <w:bCs/>
          <w:color w:val="231F20"/>
          <w:sz w:val="36"/>
          <w:szCs w:val="44"/>
        </w:rPr>
        <w:t>en</w:t>
      </w:r>
      <w:proofErr w:type="gramEnd"/>
      <w:r w:rsidRPr="00FD3DD3">
        <w:rPr>
          <w:rFonts w:ascii="Helvetica-Bold" w:hAnsi="Helvetica-Bold" w:cs="Helvetica-Bold"/>
          <w:b/>
          <w:bCs/>
          <w:color w:val="231F20"/>
          <w:sz w:val="36"/>
          <w:szCs w:val="44"/>
        </w:rPr>
        <w:t xml:space="preserve"> la práctica clínica cotidiana</w:t>
      </w:r>
    </w:p>
    <w:p w:rsidR="00FD3DD3" w:rsidRDefault="00FD3DD3" w:rsidP="00FD3DD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231F20"/>
          <w:sz w:val="12"/>
          <w:szCs w:val="20"/>
        </w:rPr>
      </w:pPr>
      <w:r w:rsidRPr="00FD3DD3">
        <w:rPr>
          <w:rFonts w:ascii="Helvetica-Bold" w:hAnsi="Helvetica-Bold" w:cs="Helvetica-Bold"/>
          <w:b/>
          <w:bCs/>
          <w:color w:val="231F20"/>
          <w:sz w:val="12"/>
          <w:szCs w:val="20"/>
        </w:rPr>
        <w:t xml:space="preserve">Karla Sánchez Lara, Ricardo Sosa Sánchez, Dan Green </w:t>
      </w:r>
      <w:proofErr w:type="spellStart"/>
      <w:r w:rsidRPr="00FD3DD3">
        <w:rPr>
          <w:rFonts w:ascii="Helvetica-Bold" w:hAnsi="Helvetica-Bold" w:cs="Helvetica-Bold"/>
          <w:b/>
          <w:bCs/>
          <w:color w:val="231F20"/>
          <w:sz w:val="12"/>
          <w:szCs w:val="20"/>
        </w:rPr>
        <w:t>Renner</w:t>
      </w:r>
      <w:proofErr w:type="spellEnd"/>
      <w:r w:rsidRPr="00FD3DD3">
        <w:rPr>
          <w:rFonts w:ascii="Helvetica-Bold" w:hAnsi="Helvetica-Bold" w:cs="Helvetica-Bold"/>
          <w:b/>
          <w:bCs/>
          <w:color w:val="231F20"/>
          <w:sz w:val="12"/>
          <w:szCs w:val="20"/>
        </w:rPr>
        <w:t xml:space="preserve">, Daniel Motola </w:t>
      </w:r>
      <w:proofErr w:type="spellStart"/>
      <w:r w:rsidRPr="00FD3DD3">
        <w:rPr>
          <w:rFonts w:ascii="Helvetica-Bold" w:hAnsi="Helvetica-Bold" w:cs="Helvetica-Bold"/>
          <w:b/>
          <w:bCs/>
          <w:color w:val="231F20"/>
          <w:sz w:val="12"/>
          <w:szCs w:val="20"/>
        </w:rPr>
        <w:t>Kuba</w:t>
      </w:r>
      <w:proofErr w:type="spellEnd"/>
    </w:p>
    <w:p w:rsidR="00FD3DD3" w:rsidRDefault="00FD3DD3" w:rsidP="00FD3DD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231F20"/>
          <w:sz w:val="12"/>
          <w:szCs w:val="20"/>
        </w:rPr>
      </w:pPr>
    </w:p>
    <w:p w:rsidR="00FD3DD3" w:rsidRDefault="00FD3DD3" w:rsidP="00FD3DD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1"/>
          <w:szCs w:val="21"/>
          <w:lang w:eastAsia="es-MX"/>
        </w:rPr>
      </w:pPr>
    </w:p>
    <w:p w:rsidR="00FD3DD3" w:rsidRPr="00385540" w:rsidRDefault="00385540" w:rsidP="0038554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1"/>
          <w:szCs w:val="21"/>
          <w:lang w:eastAsia="es-MX"/>
        </w:rPr>
      </w:pPr>
      <w:r w:rsidRPr="00385540">
        <w:rPr>
          <w:rFonts w:ascii="Verdana" w:eastAsia="Times New Roman" w:hAnsi="Verdana" w:cs="Times New Roman"/>
          <w:sz w:val="21"/>
          <w:szCs w:val="21"/>
          <w:lang w:eastAsia="es-MX"/>
        </w:rPr>
        <w:t>2.</w:t>
      </w:r>
      <w:r>
        <w:rPr>
          <w:rFonts w:ascii="Verdana" w:eastAsia="Times New Roman" w:hAnsi="Verdana" w:cs="Times New Roman"/>
          <w:sz w:val="21"/>
          <w:szCs w:val="21"/>
          <w:lang w:eastAsia="es-MX"/>
        </w:rPr>
        <w:t xml:space="preserve"> </w:t>
      </w:r>
      <w:r w:rsidR="00FD3DD3" w:rsidRPr="00385540">
        <w:rPr>
          <w:rFonts w:ascii="Verdana" w:eastAsia="Times New Roman" w:hAnsi="Verdana" w:cs="Times New Roman"/>
          <w:sz w:val="21"/>
          <w:szCs w:val="21"/>
          <w:lang w:eastAsia="es-MX"/>
        </w:rPr>
        <w:t>Revista médica de Chile (</w:t>
      </w:r>
      <w:proofErr w:type="spellStart"/>
      <w:r w:rsidR="00FD3DD3" w:rsidRPr="00385540">
        <w:rPr>
          <w:rFonts w:ascii="Verdana" w:eastAsia="Times New Roman" w:hAnsi="Verdana" w:cs="Times New Roman"/>
          <w:sz w:val="21"/>
          <w:szCs w:val="21"/>
          <w:lang w:eastAsia="es-MX"/>
        </w:rPr>
        <w:t>SciELO</w:t>
      </w:r>
      <w:proofErr w:type="spellEnd"/>
      <w:r w:rsidR="00FD3DD3" w:rsidRPr="00385540">
        <w:rPr>
          <w:rFonts w:ascii="Verdana" w:eastAsia="Times New Roman" w:hAnsi="Verdana" w:cs="Times New Roman"/>
          <w:sz w:val="21"/>
          <w:szCs w:val="21"/>
          <w:lang w:eastAsia="es-MX"/>
        </w:rPr>
        <w:t>)</w:t>
      </w:r>
    </w:p>
    <w:p w:rsidR="00FD3DD3" w:rsidRDefault="00FD3DD3" w:rsidP="00FD3DD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1"/>
          <w:szCs w:val="21"/>
          <w:lang w:eastAsia="es-MX"/>
        </w:rPr>
      </w:pPr>
    </w:p>
    <w:p w:rsidR="00FD3DD3" w:rsidRPr="00FD3DD3" w:rsidRDefault="00FD3DD3" w:rsidP="00FD3DD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sz w:val="21"/>
          <w:szCs w:val="21"/>
          <w:lang w:eastAsia="es-MX"/>
        </w:rPr>
      </w:pPr>
      <w:r w:rsidRPr="00FD3DD3">
        <w:rPr>
          <w:rFonts w:ascii="Verdana" w:eastAsia="Times New Roman" w:hAnsi="Verdana" w:cs="Times New Roman"/>
          <w:sz w:val="21"/>
          <w:szCs w:val="21"/>
          <w:lang w:eastAsia="es-MX"/>
        </w:rPr>
        <w:t>La medicina basada en evidencia.</w:t>
      </w:r>
      <w:r w:rsidRPr="00FD3DD3">
        <w:rPr>
          <w:rFonts w:ascii="Verdana" w:eastAsia="Times New Roman" w:hAnsi="Verdana" w:cs="Times New Roman"/>
          <w:sz w:val="21"/>
          <w:lang w:eastAsia="es-MX"/>
        </w:rPr>
        <w:t> </w:t>
      </w:r>
      <w:r w:rsidR="00385540">
        <w:rPr>
          <w:rFonts w:ascii="Verdana" w:eastAsia="Times New Roman" w:hAnsi="Verdana" w:cs="Times New Roman"/>
          <w:sz w:val="21"/>
          <w:szCs w:val="21"/>
          <w:lang w:eastAsia="es-MX"/>
        </w:rPr>
        <w:t xml:space="preserve"> </w:t>
      </w:r>
      <w:r w:rsidRPr="00FD3DD3">
        <w:rPr>
          <w:rFonts w:ascii="Verdana" w:eastAsia="Times New Roman" w:hAnsi="Verdana" w:cs="Times New Roman"/>
          <w:sz w:val="21"/>
          <w:szCs w:val="21"/>
          <w:lang w:eastAsia="es-MX"/>
        </w:rPr>
        <w:t>Visión después de una década</w:t>
      </w:r>
    </w:p>
    <w:p w:rsidR="00FD3DD3" w:rsidRPr="00FD3DD3" w:rsidRDefault="00FD3DD3" w:rsidP="00FD3D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4"/>
          <w:u w:val="single"/>
          <w:vertAlign w:val="superscript"/>
          <w:lang w:val="en-US" w:eastAsia="es-MX"/>
        </w:rPr>
      </w:pPr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 xml:space="preserve">Luz </w:t>
      </w:r>
      <w:proofErr w:type="spellStart"/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>María</w:t>
      </w:r>
      <w:proofErr w:type="spellEnd"/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 xml:space="preserve"> </w:t>
      </w:r>
      <w:proofErr w:type="spellStart"/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>Letelier</w:t>
      </w:r>
      <w:proofErr w:type="spellEnd"/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 xml:space="preserve"> S</w:t>
      </w:r>
      <w:hyperlink r:id="rId11" w:anchor="af1" w:history="1">
        <w:r w:rsidRPr="00FD3DD3">
          <w:rPr>
            <w:rFonts w:ascii="Verdana" w:eastAsia="Times New Roman" w:hAnsi="Verdana" w:cs="Times New Roman"/>
            <w:b/>
            <w:bCs/>
            <w:sz w:val="14"/>
            <w:u w:val="single"/>
            <w:vertAlign w:val="superscript"/>
            <w:lang w:val="en-US" w:eastAsia="es-MX"/>
          </w:rPr>
          <w:t>1</w:t>
        </w:r>
      </w:hyperlink>
      <w:proofErr w:type="gramStart"/>
      <w:r w:rsidRPr="00FD3DD3">
        <w:rPr>
          <w:rFonts w:ascii="Verdana" w:eastAsia="Times New Roman" w:hAnsi="Verdana" w:cs="Times New Roman"/>
          <w:b/>
          <w:bCs/>
          <w:sz w:val="14"/>
          <w:szCs w:val="14"/>
          <w:vertAlign w:val="superscript"/>
          <w:lang w:val="en-US" w:eastAsia="es-MX"/>
        </w:rPr>
        <w:t>,</w:t>
      </w:r>
      <w:proofErr w:type="gramEnd"/>
      <w:hyperlink r:id="rId12" w:anchor="af2" w:history="1">
        <w:r w:rsidRPr="00FD3DD3">
          <w:rPr>
            <w:rFonts w:ascii="Verdana" w:eastAsia="Times New Roman" w:hAnsi="Verdana" w:cs="Times New Roman"/>
            <w:b/>
            <w:bCs/>
            <w:sz w:val="14"/>
            <w:u w:val="single"/>
            <w:vertAlign w:val="superscript"/>
            <w:lang w:val="en-US" w:eastAsia="es-MX"/>
          </w:rPr>
          <w:t>2</w:t>
        </w:r>
      </w:hyperlink>
      <w:hyperlink r:id="rId13" w:anchor="af4" w:history="1">
        <w:r w:rsidRPr="00FD3DD3">
          <w:rPr>
            <w:rFonts w:ascii="Verdana" w:eastAsia="Times New Roman" w:hAnsi="Verdana" w:cs="Times New Roman"/>
            <w:b/>
            <w:bCs/>
            <w:sz w:val="14"/>
            <w:u w:val="single"/>
            <w:vertAlign w:val="superscript"/>
            <w:lang w:val="en-US" w:eastAsia="es-MX"/>
          </w:rPr>
          <w:t>*</w:t>
        </w:r>
      </w:hyperlink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 xml:space="preserve">, </w:t>
      </w:r>
      <w:proofErr w:type="spellStart"/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>Philippa</w:t>
      </w:r>
      <w:proofErr w:type="spellEnd"/>
      <w:r w:rsidRPr="00FD3DD3">
        <w:rPr>
          <w:rFonts w:ascii="Verdana" w:eastAsia="Times New Roman" w:hAnsi="Verdana" w:cs="Times New Roman"/>
          <w:b/>
          <w:bCs/>
          <w:sz w:val="14"/>
          <w:szCs w:val="14"/>
          <w:lang w:val="en-US" w:eastAsia="es-MX"/>
        </w:rPr>
        <w:t xml:space="preserve"> Moore</w:t>
      </w:r>
      <w:r w:rsidRPr="00FD3DD3">
        <w:rPr>
          <w:rFonts w:ascii="Verdana" w:eastAsia="Times New Roman" w:hAnsi="Verdana" w:cs="Times New Roman"/>
          <w:b/>
          <w:bCs/>
          <w:sz w:val="14"/>
          <w:u w:val="single"/>
          <w:vertAlign w:val="superscript"/>
          <w:lang w:val="en-US" w:eastAsia="es-MX"/>
        </w:rPr>
        <w:t>3*</w:t>
      </w:r>
    </w:p>
    <w:p w:rsidR="00FD3DD3" w:rsidRPr="00385540" w:rsidRDefault="00385540" w:rsidP="00385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4"/>
          <w:lang w:eastAsia="es-MX"/>
        </w:rPr>
      </w:pPr>
      <w:r w:rsidRPr="00385540">
        <w:rPr>
          <w:rFonts w:ascii="Arial" w:eastAsia="Times New Roman" w:hAnsi="Arial" w:cs="Arial"/>
          <w:sz w:val="24"/>
          <w:szCs w:val="14"/>
          <w:lang w:eastAsia="es-MX"/>
        </w:rPr>
        <w:t>3.</w:t>
      </w:r>
      <w:r>
        <w:rPr>
          <w:rFonts w:ascii="Arial" w:eastAsia="Times New Roman" w:hAnsi="Arial" w:cs="Arial"/>
          <w:sz w:val="24"/>
          <w:szCs w:val="14"/>
          <w:lang w:eastAsia="es-MX"/>
        </w:rPr>
        <w:t xml:space="preserve"> </w:t>
      </w:r>
      <w:r w:rsidR="00FD3DD3" w:rsidRPr="00385540">
        <w:rPr>
          <w:rFonts w:ascii="Arial" w:eastAsia="Times New Roman" w:hAnsi="Arial" w:cs="Arial"/>
          <w:sz w:val="24"/>
          <w:szCs w:val="14"/>
          <w:lang w:eastAsia="es-MX"/>
        </w:rPr>
        <w:t>Medicina basada en evidencias.</w:t>
      </w:r>
      <w:r w:rsidRPr="00385540">
        <w:rPr>
          <w:rFonts w:ascii="Arial" w:eastAsia="Times New Roman" w:hAnsi="Arial" w:cs="Arial"/>
          <w:sz w:val="24"/>
          <w:szCs w:val="14"/>
          <w:lang w:eastAsia="es-MX"/>
        </w:rPr>
        <w:t xml:space="preserve"> </w:t>
      </w:r>
      <w:r w:rsidR="00FD3DD3" w:rsidRPr="00385540">
        <w:rPr>
          <w:rFonts w:ascii="Arial" w:eastAsia="Times New Roman" w:hAnsi="Arial" w:cs="Arial"/>
          <w:sz w:val="24"/>
          <w:szCs w:val="14"/>
          <w:lang w:eastAsia="es-MX"/>
        </w:rPr>
        <w:t>La medicina del siglo 21</w:t>
      </w:r>
      <w:r w:rsidRPr="00385540">
        <w:rPr>
          <w:rFonts w:ascii="Arial" w:eastAsia="Times New Roman" w:hAnsi="Arial" w:cs="Arial"/>
          <w:sz w:val="24"/>
          <w:szCs w:val="14"/>
          <w:lang w:eastAsia="es-MX"/>
        </w:rPr>
        <w:t>.</w:t>
      </w:r>
    </w:p>
    <w:p w:rsidR="00385540" w:rsidRPr="00385540" w:rsidRDefault="00385540" w:rsidP="00385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14"/>
          <w:lang w:eastAsia="es-MX"/>
        </w:rPr>
      </w:pPr>
      <w:r>
        <w:rPr>
          <w:rFonts w:ascii="Arial" w:eastAsia="Times New Roman" w:hAnsi="Arial" w:cs="Arial"/>
          <w:sz w:val="24"/>
          <w:szCs w:val="14"/>
          <w:lang w:eastAsia="es-MX"/>
        </w:rPr>
        <w:t>Carlos Rivera Williams.</w:t>
      </w:r>
    </w:p>
    <w:sectPr w:rsidR="00385540" w:rsidRPr="00385540" w:rsidSect="00090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E27"/>
    <w:multiLevelType w:val="hybridMultilevel"/>
    <w:tmpl w:val="84A89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6FFA"/>
    <w:multiLevelType w:val="hybridMultilevel"/>
    <w:tmpl w:val="DD00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05AD"/>
    <w:rsid w:val="00090C39"/>
    <w:rsid w:val="001105AD"/>
    <w:rsid w:val="0013586C"/>
    <w:rsid w:val="001E636C"/>
    <w:rsid w:val="00385540"/>
    <w:rsid w:val="00447705"/>
    <w:rsid w:val="008929BF"/>
    <w:rsid w:val="00B031F2"/>
    <w:rsid w:val="00DE2BDF"/>
    <w:rsid w:val="00FD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9"/>
  </w:style>
  <w:style w:type="paragraph" w:styleId="Ttulo2">
    <w:name w:val="heading 2"/>
    <w:basedOn w:val="Normal"/>
    <w:link w:val="Ttulo2Car"/>
    <w:uiPriority w:val="9"/>
    <w:qFormat/>
    <w:rsid w:val="00FD3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E2BD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3DD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D3DD3"/>
  </w:style>
  <w:style w:type="character" w:styleId="Hipervnculo">
    <w:name w:val="Hyperlink"/>
    <w:basedOn w:val="Fuentedeprrafopredeter"/>
    <w:uiPriority w:val="99"/>
    <w:semiHidden/>
    <w:unhideWhenUsed/>
    <w:rsid w:val="00FD3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www.scielo.cl/scielo.php?script=sci_arttext&amp;pid=S0034-98872003000800016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scielo.cl/scielo.php?script=sci_arttext&amp;pid=S0034-988720030008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scielo.cl/scielo.php?script=sci_arttext&amp;pid=S0034-98872003000800016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03B973-0886-4F2F-A16F-C77C19EDFE9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F33C4D6-7D9F-45D4-BDED-64D5146C4815}">
      <dgm:prSet phldrT="[Texto]"/>
      <dgm:spPr/>
      <dgm:t>
        <a:bodyPr/>
        <a:lstStyle/>
        <a:p>
          <a:pPr algn="ctr"/>
          <a:r>
            <a:rPr lang="es-MX"/>
            <a:t>aplicaciones de la MBE</a:t>
          </a:r>
        </a:p>
      </dgm:t>
    </dgm:pt>
    <dgm:pt modelId="{D4F19F1E-7509-4955-9E57-327F6B9E194B}" type="parTrans" cxnId="{22854310-77AE-4747-934E-BAA2604027C6}">
      <dgm:prSet/>
      <dgm:spPr/>
      <dgm:t>
        <a:bodyPr/>
        <a:lstStyle/>
        <a:p>
          <a:pPr algn="ctr"/>
          <a:endParaRPr lang="es-MX"/>
        </a:p>
      </dgm:t>
    </dgm:pt>
    <dgm:pt modelId="{FF8C59AE-6D15-4B04-A206-4DCF5757928B}" type="sibTrans" cxnId="{22854310-77AE-4747-934E-BAA2604027C6}">
      <dgm:prSet/>
      <dgm:spPr/>
      <dgm:t>
        <a:bodyPr/>
        <a:lstStyle/>
        <a:p>
          <a:pPr algn="ctr"/>
          <a:endParaRPr lang="es-MX"/>
        </a:p>
      </dgm:t>
    </dgm:pt>
    <dgm:pt modelId="{CDBD3D45-AC52-4083-B928-741E019FD951}">
      <dgm:prSet phldrT="[Texto]"/>
      <dgm:spPr/>
      <dgm:t>
        <a:bodyPr/>
        <a:lstStyle/>
        <a:p>
          <a:pPr algn="ctr"/>
          <a:r>
            <a:rPr lang="es-MX"/>
            <a:t>Habilidades</a:t>
          </a:r>
        </a:p>
        <a:p>
          <a:pPr algn="ctr"/>
          <a:r>
            <a:rPr lang="es-MX"/>
            <a:t>adquiridas con la</a:t>
          </a:r>
        </a:p>
        <a:p>
          <a:pPr algn="ctr"/>
          <a:r>
            <a:rPr lang="es-MX"/>
            <a:t>experiencia clínica</a:t>
          </a:r>
        </a:p>
      </dgm:t>
    </dgm:pt>
    <dgm:pt modelId="{CFB8F790-B7C3-47FE-8EBE-C02B221DD018}" type="parTrans" cxnId="{DA304F03-4F54-4629-AF1E-F89719FB737B}">
      <dgm:prSet/>
      <dgm:spPr/>
      <dgm:t>
        <a:bodyPr/>
        <a:lstStyle/>
        <a:p>
          <a:pPr algn="ctr"/>
          <a:endParaRPr lang="es-MX"/>
        </a:p>
      </dgm:t>
    </dgm:pt>
    <dgm:pt modelId="{9CAFB11C-49D6-40BF-8190-C752A61452C4}" type="sibTrans" cxnId="{DA304F03-4F54-4629-AF1E-F89719FB737B}">
      <dgm:prSet/>
      <dgm:spPr/>
      <dgm:t>
        <a:bodyPr/>
        <a:lstStyle/>
        <a:p>
          <a:pPr algn="ctr"/>
          <a:endParaRPr lang="es-MX"/>
        </a:p>
      </dgm:t>
    </dgm:pt>
    <dgm:pt modelId="{74495362-CA73-4B8C-A1A4-A8059890561E}">
      <dgm:prSet phldrT="[Texto]"/>
      <dgm:spPr/>
      <dgm:t>
        <a:bodyPr/>
        <a:lstStyle/>
        <a:p>
          <a:pPr algn="ctr"/>
          <a:r>
            <a:rPr lang="es-MX"/>
            <a:t>Evidencia</a:t>
          </a:r>
        </a:p>
        <a:p>
          <a:pPr algn="ctr"/>
          <a:r>
            <a:rPr lang="es-MX"/>
            <a:t>disponible</a:t>
          </a:r>
        </a:p>
      </dgm:t>
    </dgm:pt>
    <dgm:pt modelId="{95409F81-6F63-41AE-B029-5D821EBDA4C2}" type="parTrans" cxnId="{3DF5B936-2F72-4B60-A48C-12A866EE39A6}">
      <dgm:prSet/>
      <dgm:spPr/>
      <dgm:t>
        <a:bodyPr/>
        <a:lstStyle/>
        <a:p>
          <a:pPr algn="ctr"/>
          <a:endParaRPr lang="es-MX"/>
        </a:p>
      </dgm:t>
    </dgm:pt>
    <dgm:pt modelId="{90B0CE56-A8F2-4301-9BEA-E12B2363060B}" type="sibTrans" cxnId="{3DF5B936-2F72-4B60-A48C-12A866EE39A6}">
      <dgm:prSet/>
      <dgm:spPr/>
      <dgm:t>
        <a:bodyPr/>
        <a:lstStyle/>
        <a:p>
          <a:pPr algn="ctr"/>
          <a:endParaRPr lang="es-MX"/>
        </a:p>
      </dgm:t>
    </dgm:pt>
    <dgm:pt modelId="{0702A968-B145-4C0F-8B7E-1F436A1FA6F8}">
      <dgm:prSet phldrT="[Texto]"/>
      <dgm:spPr/>
      <dgm:t>
        <a:bodyPr/>
        <a:lstStyle/>
        <a:p>
          <a:pPr algn="ctr"/>
          <a:r>
            <a:rPr lang="es-MX"/>
            <a:t>Preferencias y</a:t>
          </a:r>
        </a:p>
        <a:p>
          <a:pPr algn="ctr"/>
          <a:r>
            <a:rPr lang="es-MX"/>
            <a:t>necesidades del</a:t>
          </a:r>
        </a:p>
        <a:p>
          <a:pPr algn="ctr"/>
          <a:r>
            <a:rPr lang="es-MX"/>
            <a:t>paciente</a:t>
          </a:r>
        </a:p>
      </dgm:t>
    </dgm:pt>
    <dgm:pt modelId="{5EFF8EEE-CB63-49D3-95C7-4C0396F86A02}" type="parTrans" cxnId="{B63BA391-3B2A-44E8-981D-23726351AA1E}">
      <dgm:prSet/>
      <dgm:spPr/>
      <dgm:t>
        <a:bodyPr/>
        <a:lstStyle/>
        <a:p>
          <a:pPr algn="ctr"/>
          <a:endParaRPr lang="es-MX"/>
        </a:p>
      </dgm:t>
    </dgm:pt>
    <dgm:pt modelId="{8E4D8DB1-18E5-4A5D-BE7A-B730725C2D61}" type="sibTrans" cxnId="{B63BA391-3B2A-44E8-981D-23726351AA1E}">
      <dgm:prSet/>
      <dgm:spPr/>
      <dgm:t>
        <a:bodyPr/>
        <a:lstStyle/>
        <a:p>
          <a:pPr algn="ctr"/>
          <a:endParaRPr lang="es-MX"/>
        </a:p>
      </dgm:t>
    </dgm:pt>
    <dgm:pt modelId="{EFC8762B-F65A-48D4-8B61-3F110FDCD3F9}">
      <dgm:prSet phldrT="[Texto]"/>
      <dgm:spPr/>
      <dgm:t>
        <a:bodyPr/>
        <a:lstStyle/>
        <a:p>
          <a:pPr algn="ctr"/>
          <a:r>
            <a:rPr lang="es-MX"/>
            <a:t>Decisión</a:t>
          </a:r>
        </a:p>
        <a:p>
          <a:pPr algn="ctr"/>
          <a:r>
            <a:rPr lang="es-MX"/>
            <a:t>clínica</a:t>
          </a:r>
        </a:p>
      </dgm:t>
    </dgm:pt>
    <dgm:pt modelId="{77FCF364-3BE3-406E-9822-C82393186B92}" type="parTrans" cxnId="{84ECD089-98D2-4729-8253-E9341B03ADCD}">
      <dgm:prSet/>
      <dgm:spPr/>
      <dgm:t>
        <a:bodyPr/>
        <a:lstStyle/>
        <a:p>
          <a:pPr algn="ctr"/>
          <a:endParaRPr lang="es-MX"/>
        </a:p>
      </dgm:t>
    </dgm:pt>
    <dgm:pt modelId="{5376DCAE-5EFE-4811-8155-C8F28E7E40DE}" type="sibTrans" cxnId="{84ECD089-98D2-4729-8253-E9341B03ADCD}">
      <dgm:prSet/>
      <dgm:spPr/>
      <dgm:t>
        <a:bodyPr/>
        <a:lstStyle/>
        <a:p>
          <a:pPr algn="ctr"/>
          <a:endParaRPr lang="es-MX"/>
        </a:p>
      </dgm:t>
    </dgm:pt>
    <dgm:pt modelId="{21FF9605-DE94-4FC7-BFDD-61B5614453D0}" type="pres">
      <dgm:prSet presAssocID="{9E03B973-0886-4F2F-A16F-C77C19EDFE9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2226C2D-F38C-4DAF-8784-8575030AB6BC}" type="pres">
      <dgm:prSet presAssocID="{5F33C4D6-7D9F-45D4-BDED-64D5146C4815}" presName="hierRoot1" presStyleCnt="0"/>
      <dgm:spPr/>
    </dgm:pt>
    <dgm:pt modelId="{A185F8A7-1383-4826-840C-CC7B7EBD1C1B}" type="pres">
      <dgm:prSet presAssocID="{5F33C4D6-7D9F-45D4-BDED-64D5146C4815}" presName="composite" presStyleCnt="0"/>
      <dgm:spPr/>
    </dgm:pt>
    <dgm:pt modelId="{F1DC6CE1-716A-444D-9DFC-3A48D1B8E32C}" type="pres">
      <dgm:prSet presAssocID="{5F33C4D6-7D9F-45D4-BDED-64D5146C4815}" presName="background" presStyleLbl="node0" presStyleIdx="0" presStyleCnt="1"/>
      <dgm:spPr/>
    </dgm:pt>
    <dgm:pt modelId="{E0FCB7BA-48C0-43D1-946C-C371174364B9}" type="pres">
      <dgm:prSet presAssocID="{5F33C4D6-7D9F-45D4-BDED-64D5146C4815}" presName="text" presStyleLbl="fgAcc0" presStyleIdx="0" presStyleCnt="1">
        <dgm:presLayoutVars>
          <dgm:chPref val="3"/>
        </dgm:presLayoutVars>
      </dgm:prSet>
      <dgm:spPr/>
    </dgm:pt>
    <dgm:pt modelId="{5FED0EE2-486E-4DF2-A6DA-43F0DA068144}" type="pres">
      <dgm:prSet presAssocID="{5F33C4D6-7D9F-45D4-BDED-64D5146C4815}" presName="hierChild2" presStyleCnt="0"/>
      <dgm:spPr/>
    </dgm:pt>
    <dgm:pt modelId="{3CEE0093-2F42-461E-A014-8D4EB4E77608}" type="pres">
      <dgm:prSet presAssocID="{CFB8F790-B7C3-47FE-8EBE-C02B221DD018}" presName="Name10" presStyleLbl="parChTrans1D2" presStyleIdx="0" presStyleCnt="2"/>
      <dgm:spPr/>
    </dgm:pt>
    <dgm:pt modelId="{A1876DA5-B6C3-4C6C-84D5-00955EC9A5EF}" type="pres">
      <dgm:prSet presAssocID="{CDBD3D45-AC52-4083-B928-741E019FD951}" presName="hierRoot2" presStyleCnt="0"/>
      <dgm:spPr/>
    </dgm:pt>
    <dgm:pt modelId="{8AFA684E-210C-4A58-BE82-D4A594904F86}" type="pres">
      <dgm:prSet presAssocID="{CDBD3D45-AC52-4083-B928-741E019FD951}" presName="composite2" presStyleCnt="0"/>
      <dgm:spPr/>
    </dgm:pt>
    <dgm:pt modelId="{460B1C90-5370-4F68-9E46-22B343E892AC}" type="pres">
      <dgm:prSet presAssocID="{CDBD3D45-AC52-4083-B928-741E019FD951}" presName="background2" presStyleLbl="node2" presStyleIdx="0" presStyleCnt="2"/>
      <dgm:spPr/>
    </dgm:pt>
    <dgm:pt modelId="{C15EA406-B3B2-4FE4-87F0-6F1A0BAA52FA}" type="pres">
      <dgm:prSet presAssocID="{CDBD3D45-AC52-4083-B928-741E019FD95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095C9F-C576-4FCD-8960-C0F47A015735}" type="pres">
      <dgm:prSet presAssocID="{CDBD3D45-AC52-4083-B928-741E019FD951}" presName="hierChild3" presStyleCnt="0"/>
      <dgm:spPr/>
    </dgm:pt>
    <dgm:pt modelId="{58F31126-1785-4DD1-926D-2BF148EC7AC7}" type="pres">
      <dgm:prSet presAssocID="{95409F81-6F63-41AE-B029-5D821EBDA4C2}" presName="Name17" presStyleLbl="parChTrans1D3" presStyleIdx="0" presStyleCnt="2"/>
      <dgm:spPr/>
    </dgm:pt>
    <dgm:pt modelId="{311266FB-FF75-4A04-A99D-819CCC4A87EF}" type="pres">
      <dgm:prSet presAssocID="{74495362-CA73-4B8C-A1A4-A8059890561E}" presName="hierRoot3" presStyleCnt="0"/>
      <dgm:spPr/>
    </dgm:pt>
    <dgm:pt modelId="{585320A9-18ED-4F80-B548-98B71DFFD11D}" type="pres">
      <dgm:prSet presAssocID="{74495362-CA73-4B8C-A1A4-A8059890561E}" presName="composite3" presStyleCnt="0"/>
      <dgm:spPr/>
    </dgm:pt>
    <dgm:pt modelId="{FCC1BD4F-FB23-467A-A80D-7CFDF1226A3F}" type="pres">
      <dgm:prSet presAssocID="{74495362-CA73-4B8C-A1A4-A8059890561E}" presName="background3" presStyleLbl="node3" presStyleIdx="0" presStyleCnt="2"/>
      <dgm:spPr/>
    </dgm:pt>
    <dgm:pt modelId="{04753BBD-7F94-42A3-9AD0-A6E457C8D817}" type="pres">
      <dgm:prSet presAssocID="{74495362-CA73-4B8C-A1A4-A8059890561E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9A9BBDB-993D-486D-88D2-D2A952B2898F}" type="pres">
      <dgm:prSet presAssocID="{74495362-CA73-4B8C-A1A4-A8059890561E}" presName="hierChild4" presStyleCnt="0"/>
      <dgm:spPr/>
    </dgm:pt>
    <dgm:pt modelId="{7E011240-005E-4C90-8833-B292CB9F1DC9}" type="pres">
      <dgm:prSet presAssocID="{5EFF8EEE-CB63-49D3-95C7-4C0396F86A02}" presName="Name10" presStyleLbl="parChTrans1D2" presStyleIdx="1" presStyleCnt="2"/>
      <dgm:spPr/>
    </dgm:pt>
    <dgm:pt modelId="{CF8B2EBE-EFB0-4B53-AEE7-0724A947BECB}" type="pres">
      <dgm:prSet presAssocID="{0702A968-B145-4C0F-8B7E-1F436A1FA6F8}" presName="hierRoot2" presStyleCnt="0"/>
      <dgm:spPr/>
    </dgm:pt>
    <dgm:pt modelId="{A4B8F568-F8BA-4060-9DF3-98DD768A879A}" type="pres">
      <dgm:prSet presAssocID="{0702A968-B145-4C0F-8B7E-1F436A1FA6F8}" presName="composite2" presStyleCnt="0"/>
      <dgm:spPr/>
    </dgm:pt>
    <dgm:pt modelId="{669B2504-BAC9-4007-807F-FE4F503610BB}" type="pres">
      <dgm:prSet presAssocID="{0702A968-B145-4C0F-8B7E-1F436A1FA6F8}" presName="background2" presStyleLbl="node2" presStyleIdx="1" presStyleCnt="2"/>
      <dgm:spPr/>
    </dgm:pt>
    <dgm:pt modelId="{1EC767B7-18B9-4F24-B708-BA4B3D22A915}" type="pres">
      <dgm:prSet presAssocID="{0702A968-B145-4C0F-8B7E-1F436A1FA6F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B51570A-178D-4C62-B02D-E52E1A31829E}" type="pres">
      <dgm:prSet presAssocID="{0702A968-B145-4C0F-8B7E-1F436A1FA6F8}" presName="hierChild3" presStyleCnt="0"/>
      <dgm:spPr/>
    </dgm:pt>
    <dgm:pt modelId="{572D68BF-87B9-4B83-9655-2002CB2554CB}" type="pres">
      <dgm:prSet presAssocID="{77FCF364-3BE3-406E-9822-C82393186B92}" presName="Name17" presStyleLbl="parChTrans1D3" presStyleIdx="1" presStyleCnt="2"/>
      <dgm:spPr/>
    </dgm:pt>
    <dgm:pt modelId="{6A4D1DCC-BF0C-44EA-B303-BAA205542C95}" type="pres">
      <dgm:prSet presAssocID="{EFC8762B-F65A-48D4-8B61-3F110FDCD3F9}" presName="hierRoot3" presStyleCnt="0"/>
      <dgm:spPr/>
    </dgm:pt>
    <dgm:pt modelId="{C9AA96C9-CB76-4E4D-923F-7721E6DC1115}" type="pres">
      <dgm:prSet presAssocID="{EFC8762B-F65A-48D4-8B61-3F110FDCD3F9}" presName="composite3" presStyleCnt="0"/>
      <dgm:spPr/>
    </dgm:pt>
    <dgm:pt modelId="{36DB4106-A149-4D12-A38F-19ACF76F2612}" type="pres">
      <dgm:prSet presAssocID="{EFC8762B-F65A-48D4-8B61-3F110FDCD3F9}" presName="background3" presStyleLbl="node3" presStyleIdx="1" presStyleCnt="2"/>
      <dgm:spPr/>
    </dgm:pt>
    <dgm:pt modelId="{2F8F4DAC-6F35-4FBE-AACC-318BF434E240}" type="pres">
      <dgm:prSet presAssocID="{EFC8762B-F65A-48D4-8B61-3F110FDCD3F9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B01C3AB-6F37-4FC9-AA9B-F1EE3A5C320F}" type="pres">
      <dgm:prSet presAssocID="{EFC8762B-F65A-48D4-8B61-3F110FDCD3F9}" presName="hierChild4" presStyleCnt="0"/>
      <dgm:spPr/>
    </dgm:pt>
  </dgm:ptLst>
  <dgm:cxnLst>
    <dgm:cxn modelId="{C9E93796-E515-4710-BEFB-35A7759498F7}" type="presOf" srcId="{0702A968-B145-4C0F-8B7E-1F436A1FA6F8}" destId="{1EC767B7-18B9-4F24-B708-BA4B3D22A915}" srcOrd="0" destOrd="0" presId="urn:microsoft.com/office/officeart/2005/8/layout/hierarchy1"/>
    <dgm:cxn modelId="{84ECD089-98D2-4729-8253-E9341B03ADCD}" srcId="{0702A968-B145-4C0F-8B7E-1F436A1FA6F8}" destId="{EFC8762B-F65A-48D4-8B61-3F110FDCD3F9}" srcOrd="0" destOrd="0" parTransId="{77FCF364-3BE3-406E-9822-C82393186B92}" sibTransId="{5376DCAE-5EFE-4811-8155-C8F28E7E40DE}"/>
    <dgm:cxn modelId="{0056D5AA-1501-485C-BECF-21A4CC362CF9}" type="presOf" srcId="{CDBD3D45-AC52-4083-B928-741E019FD951}" destId="{C15EA406-B3B2-4FE4-87F0-6F1A0BAA52FA}" srcOrd="0" destOrd="0" presId="urn:microsoft.com/office/officeart/2005/8/layout/hierarchy1"/>
    <dgm:cxn modelId="{F1522ED9-992B-40E0-A651-AF4A36E9CC5B}" type="presOf" srcId="{9E03B973-0886-4F2F-A16F-C77C19EDFE93}" destId="{21FF9605-DE94-4FC7-BFDD-61B5614453D0}" srcOrd="0" destOrd="0" presId="urn:microsoft.com/office/officeart/2005/8/layout/hierarchy1"/>
    <dgm:cxn modelId="{8FDCF181-2FA4-4C11-87B8-EBAED92C218A}" type="presOf" srcId="{74495362-CA73-4B8C-A1A4-A8059890561E}" destId="{04753BBD-7F94-42A3-9AD0-A6E457C8D817}" srcOrd="0" destOrd="0" presId="urn:microsoft.com/office/officeart/2005/8/layout/hierarchy1"/>
    <dgm:cxn modelId="{0DC7EBA0-EF1C-415A-9F62-C56E5EDD4940}" type="presOf" srcId="{95409F81-6F63-41AE-B029-5D821EBDA4C2}" destId="{58F31126-1785-4DD1-926D-2BF148EC7AC7}" srcOrd="0" destOrd="0" presId="urn:microsoft.com/office/officeart/2005/8/layout/hierarchy1"/>
    <dgm:cxn modelId="{109E1349-0AF1-4B06-8445-7E905BAE3184}" type="presOf" srcId="{CFB8F790-B7C3-47FE-8EBE-C02B221DD018}" destId="{3CEE0093-2F42-461E-A014-8D4EB4E77608}" srcOrd="0" destOrd="0" presId="urn:microsoft.com/office/officeart/2005/8/layout/hierarchy1"/>
    <dgm:cxn modelId="{827D1F4D-2843-4319-BBCC-4766A010E1E7}" type="presOf" srcId="{5F33C4D6-7D9F-45D4-BDED-64D5146C4815}" destId="{E0FCB7BA-48C0-43D1-946C-C371174364B9}" srcOrd="0" destOrd="0" presId="urn:microsoft.com/office/officeart/2005/8/layout/hierarchy1"/>
    <dgm:cxn modelId="{5741B619-C9BC-4EB9-8FF1-631F36C00169}" type="presOf" srcId="{EFC8762B-F65A-48D4-8B61-3F110FDCD3F9}" destId="{2F8F4DAC-6F35-4FBE-AACC-318BF434E240}" srcOrd="0" destOrd="0" presId="urn:microsoft.com/office/officeart/2005/8/layout/hierarchy1"/>
    <dgm:cxn modelId="{DA304F03-4F54-4629-AF1E-F89719FB737B}" srcId="{5F33C4D6-7D9F-45D4-BDED-64D5146C4815}" destId="{CDBD3D45-AC52-4083-B928-741E019FD951}" srcOrd="0" destOrd="0" parTransId="{CFB8F790-B7C3-47FE-8EBE-C02B221DD018}" sibTransId="{9CAFB11C-49D6-40BF-8190-C752A61452C4}"/>
    <dgm:cxn modelId="{B63BA391-3B2A-44E8-981D-23726351AA1E}" srcId="{5F33C4D6-7D9F-45D4-BDED-64D5146C4815}" destId="{0702A968-B145-4C0F-8B7E-1F436A1FA6F8}" srcOrd="1" destOrd="0" parTransId="{5EFF8EEE-CB63-49D3-95C7-4C0396F86A02}" sibTransId="{8E4D8DB1-18E5-4A5D-BE7A-B730725C2D61}"/>
    <dgm:cxn modelId="{01AC109A-0612-47C7-837C-4A8E5DE27478}" type="presOf" srcId="{5EFF8EEE-CB63-49D3-95C7-4C0396F86A02}" destId="{7E011240-005E-4C90-8833-B292CB9F1DC9}" srcOrd="0" destOrd="0" presId="urn:microsoft.com/office/officeart/2005/8/layout/hierarchy1"/>
    <dgm:cxn modelId="{3DF5B936-2F72-4B60-A48C-12A866EE39A6}" srcId="{CDBD3D45-AC52-4083-B928-741E019FD951}" destId="{74495362-CA73-4B8C-A1A4-A8059890561E}" srcOrd="0" destOrd="0" parTransId="{95409F81-6F63-41AE-B029-5D821EBDA4C2}" sibTransId="{90B0CE56-A8F2-4301-9BEA-E12B2363060B}"/>
    <dgm:cxn modelId="{22854310-77AE-4747-934E-BAA2604027C6}" srcId="{9E03B973-0886-4F2F-A16F-C77C19EDFE93}" destId="{5F33C4D6-7D9F-45D4-BDED-64D5146C4815}" srcOrd="0" destOrd="0" parTransId="{D4F19F1E-7509-4955-9E57-327F6B9E194B}" sibTransId="{FF8C59AE-6D15-4B04-A206-4DCF5757928B}"/>
    <dgm:cxn modelId="{C483858F-7C8B-4397-99F1-2320564884CB}" type="presOf" srcId="{77FCF364-3BE3-406E-9822-C82393186B92}" destId="{572D68BF-87B9-4B83-9655-2002CB2554CB}" srcOrd="0" destOrd="0" presId="urn:microsoft.com/office/officeart/2005/8/layout/hierarchy1"/>
    <dgm:cxn modelId="{FD60005E-79DD-4340-AD53-B867CC00831B}" type="presParOf" srcId="{21FF9605-DE94-4FC7-BFDD-61B5614453D0}" destId="{D2226C2D-F38C-4DAF-8784-8575030AB6BC}" srcOrd="0" destOrd="0" presId="urn:microsoft.com/office/officeart/2005/8/layout/hierarchy1"/>
    <dgm:cxn modelId="{EB07C6F7-CAB0-42D3-AD7E-70D94286458A}" type="presParOf" srcId="{D2226C2D-F38C-4DAF-8784-8575030AB6BC}" destId="{A185F8A7-1383-4826-840C-CC7B7EBD1C1B}" srcOrd="0" destOrd="0" presId="urn:microsoft.com/office/officeart/2005/8/layout/hierarchy1"/>
    <dgm:cxn modelId="{CD77CA68-EC60-491B-9577-1B2BB03471D4}" type="presParOf" srcId="{A185F8A7-1383-4826-840C-CC7B7EBD1C1B}" destId="{F1DC6CE1-716A-444D-9DFC-3A48D1B8E32C}" srcOrd="0" destOrd="0" presId="urn:microsoft.com/office/officeart/2005/8/layout/hierarchy1"/>
    <dgm:cxn modelId="{A52AC487-C1C9-420E-A176-4AABE618C02D}" type="presParOf" srcId="{A185F8A7-1383-4826-840C-CC7B7EBD1C1B}" destId="{E0FCB7BA-48C0-43D1-946C-C371174364B9}" srcOrd="1" destOrd="0" presId="urn:microsoft.com/office/officeart/2005/8/layout/hierarchy1"/>
    <dgm:cxn modelId="{822DD9F6-0E0B-4993-B1C6-2B01A70EFC39}" type="presParOf" srcId="{D2226C2D-F38C-4DAF-8784-8575030AB6BC}" destId="{5FED0EE2-486E-4DF2-A6DA-43F0DA068144}" srcOrd="1" destOrd="0" presId="urn:microsoft.com/office/officeart/2005/8/layout/hierarchy1"/>
    <dgm:cxn modelId="{64108C87-7981-4682-8043-FB8DB9E9E0F1}" type="presParOf" srcId="{5FED0EE2-486E-4DF2-A6DA-43F0DA068144}" destId="{3CEE0093-2F42-461E-A014-8D4EB4E77608}" srcOrd="0" destOrd="0" presId="urn:microsoft.com/office/officeart/2005/8/layout/hierarchy1"/>
    <dgm:cxn modelId="{F78BC98F-4180-4117-829B-742486A2D30F}" type="presParOf" srcId="{5FED0EE2-486E-4DF2-A6DA-43F0DA068144}" destId="{A1876DA5-B6C3-4C6C-84D5-00955EC9A5EF}" srcOrd="1" destOrd="0" presId="urn:microsoft.com/office/officeart/2005/8/layout/hierarchy1"/>
    <dgm:cxn modelId="{B35033F7-28ED-4DC1-8612-4A7D5B3DF441}" type="presParOf" srcId="{A1876DA5-B6C3-4C6C-84D5-00955EC9A5EF}" destId="{8AFA684E-210C-4A58-BE82-D4A594904F86}" srcOrd="0" destOrd="0" presId="urn:microsoft.com/office/officeart/2005/8/layout/hierarchy1"/>
    <dgm:cxn modelId="{5B5BCA2C-1A6B-4B78-8179-3780D3E6DA44}" type="presParOf" srcId="{8AFA684E-210C-4A58-BE82-D4A594904F86}" destId="{460B1C90-5370-4F68-9E46-22B343E892AC}" srcOrd="0" destOrd="0" presId="urn:microsoft.com/office/officeart/2005/8/layout/hierarchy1"/>
    <dgm:cxn modelId="{0773382F-7E39-49F6-B95D-9A83B26DFD7F}" type="presParOf" srcId="{8AFA684E-210C-4A58-BE82-D4A594904F86}" destId="{C15EA406-B3B2-4FE4-87F0-6F1A0BAA52FA}" srcOrd="1" destOrd="0" presId="urn:microsoft.com/office/officeart/2005/8/layout/hierarchy1"/>
    <dgm:cxn modelId="{350D263A-2360-4D71-BB5E-089DDFF9592F}" type="presParOf" srcId="{A1876DA5-B6C3-4C6C-84D5-00955EC9A5EF}" destId="{C1095C9F-C576-4FCD-8960-C0F47A015735}" srcOrd="1" destOrd="0" presId="urn:microsoft.com/office/officeart/2005/8/layout/hierarchy1"/>
    <dgm:cxn modelId="{DE4DB58C-92BB-4A1B-BD00-40C1B39F0132}" type="presParOf" srcId="{C1095C9F-C576-4FCD-8960-C0F47A015735}" destId="{58F31126-1785-4DD1-926D-2BF148EC7AC7}" srcOrd="0" destOrd="0" presId="urn:microsoft.com/office/officeart/2005/8/layout/hierarchy1"/>
    <dgm:cxn modelId="{0F674C66-6766-48DB-8A9E-041DDD334616}" type="presParOf" srcId="{C1095C9F-C576-4FCD-8960-C0F47A015735}" destId="{311266FB-FF75-4A04-A99D-819CCC4A87EF}" srcOrd="1" destOrd="0" presId="urn:microsoft.com/office/officeart/2005/8/layout/hierarchy1"/>
    <dgm:cxn modelId="{179F8446-052B-4BFA-A43C-313B940298AB}" type="presParOf" srcId="{311266FB-FF75-4A04-A99D-819CCC4A87EF}" destId="{585320A9-18ED-4F80-B548-98B71DFFD11D}" srcOrd="0" destOrd="0" presId="urn:microsoft.com/office/officeart/2005/8/layout/hierarchy1"/>
    <dgm:cxn modelId="{62485079-C0AE-4138-B267-9C21CD978A2C}" type="presParOf" srcId="{585320A9-18ED-4F80-B548-98B71DFFD11D}" destId="{FCC1BD4F-FB23-467A-A80D-7CFDF1226A3F}" srcOrd="0" destOrd="0" presId="urn:microsoft.com/office/officeart/2005/8/layout/hierarchy1"/>
    <dgm:cxn modelId="{4DFD76E4-CDED-4E3B-9318-BF5C2357A141}" type="presParOf" srcId="{585320A9-18ED-4F80-B548-98B71DFFD11D}" destId="{04753BBD-7F94-42A3-9AD0-A6E457C8D817}" srcOrd="1" destOrd="0" presId="urn:microsoft.com/office/officeart/2005/8/layout/hierarchy1"/>
    <dgm:cxn modelId="{5775BD5D-C2C5-4026-A52A-AF3FC34521B4}" type="presParOf" srcId="{311266FB-FF75-4A04-A99D-819CCC4A87EF}" destId="{09A9BBDB-993D-486D-88D2-D2A952B2898F}" srcOrd="1" destOrd="0" presId="urn:microsoft.com/office/officeart/2005/8/layout/hierarchy1"/>
    <dgm:cxn modelId="{CD0EBFC7-E670-4827-A02E-63E9B171D38E}" type="presParOf" srcId="{5FED0EE2-486E-4DF2-A6DA-43F0DA068144}" destId="{7E011240-005E-4C90-8833-B292CB9F1DC9}" srcOrd="2" destOrd="0" presId="urn:microsoft.com/office/officeart/2005/8/layout/hierarchy1"/>
    <dgm:cxn modelId="{2017FDEA-BB83-4E3B-ADD9-1AE9D638BCF8}" type="presParOf" srcId="{5FED0EE2-486E-4DF2-A6DA-43F0DA068144}" destId="{CF8B2EBE-EFB0-4B53-AEE7-0724A947BECB}" srcOrd="3" destOrd="0" presId="urn:microsoft.com/office/officeart/2005/8/layout/hierarchy1"/>
    <dgm:cxn modelId="{465AF392-BCA1-429D-8F70-42050E1540AE}" type="presParOf" srcId="{CF8B2EBE-EFB0-4B53-AEE7-0724A947BECB}" destId="{A4B8F568-F8BA-4060-9DF3-98DD768A879A}" srcOrd="0" destOrd="0" presId="urn:microsoft.com/office/officeart/2005/8/layout/hierarchy1"/>
    <dgm:cxn modelId="{78A33F77-9A33-41DE-9390-2763C50D9475}" type="presParOf" srcId="{A4B8F568-F8BA-4060-9DF3-98DD768A879A}" destId="{669B2504-BAC9-4007-807F-FE4F503610BB}" srcOrd="0" destOrd="0" presId="urn:microsoft.com/office/officeart/2005/8/layout/hierarchy1"/>
    <dgm:cxn modelId="{D5F402F9-30C6-4F67-BA62-FBDCA5DAA699}" type="presParOf" srcId="{A4B8F568-F8BA-4060-9DF3-98DD768A879A}" destId="{1EC767B7-18B9-4F24-B708-BA4B3D22A915}" srcOrd="1" destOrd="0" presId="urn:microsoft.com/office/officeart/2005/8/layout/hierarchy1"/>
    <dgm:cxn modelId="{4350A70D-C906-4683-9C3F-6C2C0C5F49A8}" type="presParOf" srcId="{CF8B2EBE-EFB0-4B53-AEE7-0724A947BECB}" destId="{CB51570A-178D-4C62-B02D-E52E1A31829E}" srcOrd="1" destOrd="0" presId="urn:microsoft.com/office/officeart/2005/8/layout/hierarchy1"/>
    <dgm:cxn modelId="{A3FB0618-FB68-4AA1-8B22-B5AEA2D1191A}" type="presParOf" srcId="{CB51570A-178D-4C62-B02D-E52E1A31829E}" destId="{572D68BF-87B9-4B83-9655-2002CB2554CB}" srcOrd="0" destOrd="0" presId="urn:microsoft.com/office/officeart/2005/8/layout/hierarchy1"/>
    <dgm:cxn modelId="{EBE4BB32-F04E-4039-A61D-BA6BFAD25E43}" type="presParOf" srcId="{CB51570A-178D-4C62-B02D-E52E1A31829E}" destId="{6A4D1DCC-BF0C-44EA-B303-BAA205542C95}" srcOrd="1" destOrd="0" presId="urn:microsoft.com/office/officeart/2005/8/layout/hierarchy1"/>
    <dgm:cxn modelId="{1E93AA14-72E2-4497-8E18-C6135B4F4359}" type="presParOf" srcId="{6A4D1DCC-BF0C-44EA-B303-BAA205542C95}" destId="{C9AA96C9-CB76-4E4D-923F-7721E6DC1115}" srcOrd="0" destOrd="0" presId="urn:microsoft.com/office/officeart/2005/8/layout/hierarchy1"/>
    <dgm:cxn modelId="{31872D2B-3421-4672-9818-7254623E77D0}" type="presParOf" srcId="{C9AA96C9-CB76-4E4D-923F-7721E6DC1115}" destId="{36DB4106-A149-4D12-A38F-19ACF76F2612}" srcOrd="0" destOrd="0" presId="urn:microsoft.com/office/officeart/2005/8/layout/hierarchy1"/>
    <dgm:cxn modelId="{371DDBB0-59D9-4045-B67F-175D5174ED7F}" type="presParOf" srcId="{C9AA96C9-CB76-4E4D-923F-7721E6DC1115}" destId="{2F8F4DAC-6F35-4FBE-AACC-318BF434E240}" srcOrd="1" destOrd="0" presId="urn:microsoft.com/office/officeart/2005/8/layout/hierarchy1"/>
    <dgm:cxn modelId="{9B0811C6-8DBF-4DD4-B27A-BCFEF78AE3A9}" type="presParOf" srcId="{6A4D1DCC-BF0C-44EA-B303-BAA205542C95}" destId="{4B01C3AB-6F37-4FC9-AA9B-F1EE3A5C320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2D68BF-87B9-4B83-9655-2002CB2554CB}">
      <dsp:nvSpPr>
        <dsp:cNvPr id="0" name=""/>
        <dsp:cNvSpPr/>
      </dsp:nvSpPr>
      <dsp:spPr>
        <a:xfrm>
          <a:off x="2514096" y="1191470"/>
          <a:ext cx="91440" cy="221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9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11240-005E-4C90-8833-B292CB9F1DC9}">
      <dsp:nvSpPr>
        <dsp:cNvPr id="0" name=""/>
        <dsp:cNvSpPr/>
      </dsp:nvSpPr>
      <dsp:spPr>
        <a:xfrm>
          <a:off x="2093480" y="484971"/>
          <a:ext cx="466336" cy="221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241"/>
              </a:lnTo>
              <a:lnTo>
                <a:pt x="466336" y="151241"/>
              </a:lnTo>
              <a:lnTo>
                <a:pt x="466336" y="221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31126-1785-4DD1-926D-2BF148EC7AC7}">
      <dsp:nvSpPr>
        <dsp:cNvPr id="0" name=""/>
        <dsp:cNvSpPr/>
      </dsp:nvSpPr>
      <dsp:spPr>
        <a:xfrm>
          <a:off x="1581424" y="1191470"/>
          <a:ext cx="91440" cy="221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9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E0093-2F42-461E-A014-8D4EB4E77608}">
      <dsp:nvSpPr>
        <dsp:cNvPr id="0" name=""/>
        <dsp:cNvSpPr/>
      </dsp:nvSpPr>
      <dsp:spPr>
        <a:xfrm>
          <a:off x="1627144" y="484971"/>
          <a:ext cx="466336" cy="221933"/>
        </a:xfrm>
        <a:custGeom>
          <a:avLst/>
          <a:gdLst/>
          <a:ahLst/>
          <a:cxnLst/>
          <a:rect l="0" t="0" r="0" b="0"/>
          <a:pathLst>
            <a:path>
              <a:moveTo>
                <a:pt x="466336" y="0"/>
              </a:moveTo>
              <a:lnTo>
                <a:pt x="466336" y="151241"/>
              </a:lnTo>
              <a:lnTo>
                <a:pt x="0" y="151241"/>
              </a:lnTo>
              <a:lnTo>
                <a:pt x="0" y="221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C6CE1-716A-444D-9DFC-3A48D1B8E32C}">
      <dsp:nvSpPr>
        <dsp:cNvPr id="0" name=""/>
        <dsp:cNvSpPr/>
      </dsp:nvSpPr>
      <dsp:spPr>
        <a:xfrm>
          <a:off x="1711932" y="406"/>
          <a:ext cx="763095" cy="484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FCB7BA-48C0-43D1-946C-C371174364B9}">
      <dsp:nvSpPr>
        <dsp:cNvPr id="0" name=""/>
        <dsp:cNvSpPr/>
      </dsp:nvSpPr>
      <dsp:spPr>
        <a:xfrm>
          <a:off x="1796720" y="80955"/>
          <a:ext cx="763095" cy="484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aplicaciones de la MBE</a:t>
          </a:r>
        </a:p>
      </dsp:txBody>
      <dsp:txXfrm>
        <a:off x="1796720" y="80955"/>
        <a:ext cx="763095" cy="484565"/>
      </dsp:txXfrm>
    </dsp:sp>
    <dsp:sp modelId="{460B1C90-5370-4F68-9E46-22B343E892AC}">
      <dsp:nvSpPr>
        <dsp:cNvPr id="0" name=""/>
        <dsp:cNvSpPr/>
      </dsp:nvSpPr>
      <dsp:spPr>
        <a:xfrm>
          <a:off x="1245596" y="706905"/>
          <a:ext cx="763095" cy="484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EA406-B3B2-4FE4-87F0-6F1A0BAA52FA}">
      <dsp:nvSpPr>
        <dsp:cNvPr id="0" name=""/>
        <dsp:cNvSpPr/>
      </dsp:nvSpPr>
      <dsp:spPr>
        <a:xfrm>
          <a:off x="1330384" y="787454"/>
          <a:ext cx="763095" cy="484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Habilidades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adquiridas con la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experiencia clínica</a:t>
          </a:r>
        </a:p>
      </dsp:txBody>
      <dsp:txXfrm>
        <a:off x="1330384" y="787454"/>
        <a:ext cx="763095" cy="484565"/>
      </dsp:txXfrm>
    </dsp:sp>
    <dsp:sp modelId="{FCC1BD4F-FB23-467A-A80D-7CFDF1226A3F}">
      <dsp:nvSpPr>
        <dsp:cNvPr id="0" name=""/>
        <dsp:cNvSpPr/>
      </dsp:nvSpPr>
      <dsp:spPr>
        <a:xfrm>
          <a:off x="1245596" y="1413404"/>
          <a:ext cx="763095" cy="484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753BBD-7F94-42A3-9AD0-A6E457C8D817}">
      <dsp:nvSpPr>
        <dsp:cNvPr id="0" name=""/>
        <dsp:cNvSpPr/>
      </dsp:nvSpPr>
      <dsp:spPr>
        <a:xfrm>
          <a:off x="1330384" y="1493953"/>
          <a:ext cx="763095" cy="484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Evidencia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disponible</a:t>
          </a:r>
        </a:p>
      </dsp:txBody>
      <dsp:txXfrm>
        <a:off x="1330384" y="1493953"/>
        <a:ext cx="763095" cy="484565"/>
      </dsp:txXfrm>
    </dsp:sp>
    <dsp:sp modelId="{669B2504-BAC9-4007-807F-FE4F503610BB}">
      <dsp:nvSpPr>
        <dsp:cNvPr id="0" name=""/>
        <dsp:cNvSpPr/>
      </dsp:nvSpPr>
      <dsp:spPr>
        <a:xfrm>
          <a:off x="2178268" y="706905"/>
          <a:ext cx="763095" cy="484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C767B7-18B9-4F24-B708-BA4B3D22A915}">
      <dsp:nvSpPr>
        <dsp:cNvPr id="0" name=""/>
        <dsp:cNvSpPr/>
      </dsp:nvSpPr>
      <dsp:spPr>
        <a:xfrm>
          <a:off x="2263057" y="787454"/>
          <a:ext cx="763095" cy="484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Preferencias 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necesidades del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paciente</a:t>
          </a:r>
        </a:p>
      </dsp:txBody>
      <dsp:txXfrm>
        <a:off x="2263057" y="787454"/>
        <a:ext cx="763095" cy="484565"/>
      </dsp:txXfrm>
    </dsp:sp>
    <dsp:sp modelId="{36DB4106-A149-4D12-A38F-19ACF76F2612}">
      <dsp:nvSpPr>
        <dsp:cNvPr id="0" name=""/>
        <dsp:cNvSpPr/>
      </dsp:nvSpPr>
      <dsp:spPr>
        <a:xfrm>
          <a:off x="2178268" y="1413404"/>
          <a:ext cx="763095" cy="484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8F4DAC-6F35-4FBE-AACC-318BF434E240}">
      <dsp:nvSpPr>
        <dsp:cNvPr id="0" name=""/>
        <dsp:cNvSpPr/>
      </dsp:nvSpPr>
      <dsp:spPr>
        <a:xfrm>
          <a:off x="2263057" y="1493953"/>
          <a:ext cx="763095" cy="484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Decisión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clínica</a:t>
          </a:r>
        </a:p>
      </dsp:txBody>
      <dsp:txXfrm>
        <a:off x="2263057" y="1493953"/>
        <a:ext cx="763095" cy="484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1478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2014-08-27T16:55:00Z</dcterms:created>
  <dcterms:modified xsi:type="dcterms:W3CDTF">2014-08-27T18:47:00Z</dcterms:modified>
</cp:coreProperties>
</file>