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69" w:rsidRPr="005315B0" w:rsidRDefault="00012269" w:rsidP="00012269">
      <w:pPr>
        <w:spacing w:after="0" w:line="240" w:lineRule="auto"/>
        <w:jc w:val="right"/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</w:pPr>
      <w:r w:rsidRPr="005315B0">
        <w:rPr>
          <w:rFonts w:ascii="Candara" w:hAnsi="Candara" w:cs="Arial"/>
          <w:i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149216B" wp14:editId="3D93B620">
            <wp:simplePos x="2247900" y="914400"/>
            <wp:positionH relativeFrom="margin">
              <wp:align>left</wp:align>
            </wp:positionH>
            <wp:positionV relativeFrom="margin">
              <wp:align>top</wp:align>
            </wp:positionV>
            <wp:extent cx="1676400" cy="52387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15B0">
        <w:rPr>
          <w:rFonts w:ascii="Candara" w:hAnsi="Candara" w:cs="Arial"/>
          <w:i/>
          <w:sz w:val="24"/>
          <w:szCs w:val="24"/>
          <w:shd w:val="clear" w:color="auto" w:fill="FFFFFF"/>
          <w:lang w:val="es-MX"/>
        </w:rPr>
        <w:t xml:space="preserve">                               </w:t>
      </w:r>
      <w:r w:rsidRPr="005315B0"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  <w:t xml:space="preserve">Iñiguez Venegas Valeria Judith </w:t>
      </w:r>
    </w:p>
    <w:p w:rsidR="00843186" w:rsidRPr="005315B0" w:rsidRDefault="001107E8" w:rsidP="001107E8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</w:pPr>
      <w:r w:rsidRPr="005315B0"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  <w:t xml:space="preserve">                                                              </w:t>
      </w:r>
      <w:r w:rsidR="00012269" w:rsidRPr="005315B0"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  <w:t>8vo ¨f¨</w:t>
      </w:r>
      <w:r w:rsidR="00843186" w:rsidRPr="005315B0">
        <w:rPr>
          <w:rFonts w:ascii="Century Gothic" w:hAnsi="Century Gothic" w:cs="Arial"/>
          <w:sz w:val="24"/>
          <w:szCs w:val="24"/>
          <w:shd w:val="clear" w:color="auto" w:fill="FFFFFF"/>
          <w:lang w:val="es-MX"/>
        </w:rPr>
        <w:t xml:space="preserve"> LME3121</w:t>
      </w:r>
    </w:p>
    <w:p w:rsidR="00012269" w:rsidRPr="005315B0" w:rsidRDefault="00012269" w:rsidP="00012269">
      <w:pPr>
        <w:rPr>
          <w:rFonts w:ascii="Candara" w:hAnsi="Candara" w:cs="Arial"/>
          <w:i/>
          <w:sz w:val="24"/>
          <w:szCs w:val="24"/>
          <w:shd w:val="clear" w:color="auto" w:fill="FFFFFF"/>
          <w:lang w:val="es-MX"/>
        </w:rPr>
      </w:pPr>
    </w:p>
    <w:p w:rsidR="00012269" w:rsidRDefault="00012269" w:rsidP="00012269">
      <w:pPr>
        <w:pStyle w:val="Prrafodelista"/>
        <w:numPr>
          <w:ilvl w:val="0"/>
          <w:numId w:val="1"/>
        </w:numPr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  <w:r w:rsidRPr="00012269"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  <w:t>Historia de la med</w:t>
      </w:r>
      <w:r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  <w:t>icina basada en evidencias</w:t>
      </w:r>
    </w:p>
    <w:p w:rsidR="00012269" w:rsidRPr="00012269" w:rsidRDefault="00012269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  <w:lang w:val="es-MX"/>
        </w:rPr>
      </w:pP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Históricamente la Medicina basada en la Evidencia tiene un doble origen: </w:t>
      </w:r>
      <w:r w:rsidRPr="00012269">
        <w:rPr>
          <w:rFonts w:ascii="Arial" w:hAnsi="Arial" w:cs="Arial"/>
          <w:b/>
          <w:i/>
          <w:color w:val="000000"/>
          <w:sz w:val="22"/>
          <w:szCs w:val="22"/>
          <w:lang w:val="es-MX"/>
        </w:rPr>
        <w:t>filosófico y tecnológico.</w:t>
      </w:r>
    </w:p>
    <w:p w:rsidR="00012269" w:rsidRPr="00012269" w:rsidRDefault="00012269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012269">
        <w:rPr>
          <w:rFonts w:ascii="Arial" w:hAnsi="Arial" w:cs="Arial"/>
          <w:color w:val="000000"/>
          <w:sz w:val="22"/>
          <w:szCs w:val="22"/>
          <w:lang w:val="es-MX"/>
        </w:rPr>
        <w:t>El</w:t>
      </w:r>
      <w:r w:rsidRPr="00012269">
        <w:rPr>
          <w:rStyle w:val="apple-converted-space"/>
          <w:rFonts w:ascii="Arial" w:hAnsi="Arial" w:cs="Arial"/>
          <w:color w:val="000000"/>
          <w:sz w:val="22"/>
          <w:szCs w:val="22"/>
          <w:lang w:val="es-MX"/>
        </w:rPr>
        <w:t> </w:t>
      </w:r>
      <w:r w:rsidRPr="00D76C1A">
        <w:rPr>
          <w:rFonts w:ascii="Arial" w:hAnsi="Arial" w:cs="Arial"/>
          <w:b/>
          <w:i/>
          <w:iCs/>
          <w:color w:val="000000"/>
          <w:sz w:val="22"/>
          <w:szCs w:val="22"/>
          <w:lang w:val="es-MX"/>
        </w:rPr>
        <w:t>origen filosófico</w:t>
      </w:r>
      <w:r w:rsidRPr="00012269">
        <w:rPr>
          <w:rStyle w:val="apple-converted-space"/>
          <w:rFonts w:ascii="Arial" w:hAnsi="Arial" w:cs="Arial"/>
          <w:color w:val="000000"/>
          <w:sz w:val="22"/>
          <w:szCs w:val="22"/>
          <w:lang w:val="es-MX"/>
        </w:rPr>
        <w:t> 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de 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esta nueva tendencia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se remonta a mediados del siglo XIX y tiene en Paris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>, con sus escépticos post-revolucionarios (</w:t>
      </w:r>
      <w:proofErr w:type="spellStart"/>
      <w:r w:rsidRPr="00012269">
        <w:rPr>
          <w:rFonts w:ascii="Arial" w:hAnsi="Arial" w:cs="Arial"/>
          <w:color w:val="000000"/>
          <w:sz w:val="22"/>
          <w:szCs w:val="22"/>
          <w:lang w:val="es-MX"/>
        </w:rPr>
        <w:t>Bichat</w:t>
      </w:r>
      <w:proofErr w:type="spellEnd"/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, </w:t>
      </w:r>
      <w:proofErr w:type="spellStart"/>
      <w:r w:rsidRPr="00012269">
        <w:rPr>
          <w:rFonts w:ascii="Arial" w:hAnsi="Arial" w:cs="Arial"/>
          <w:color w:val="000000"/>
          <w:sz w:val="22"/>
          <w:szCs w:val="22"/>
          <w:lang w:val="es-MX"/>
        </w:rPr>
        <w:t>Magendie</w:t>
      </w:r>
      <w:proofErr w:type="spellEnd"/>
      <w:r w:rsidRPr="00012269">
        <w:rPr>
          <w:rFonts w:ascii="Arial" w:hAnsi="Arial" w:cs="Arial"/>
          <w:color w:val="000000"/>
          <w:sz w:val="22"/>
          <w:szCs w:val="22"/>
          <w:lang w:val="es-MX"/>
        </w:rPr>
        <w:t>, etc.)</w:t>
      </w:r>
      <w:r w:rsidRPr="00012269">
        <w:rPr>
          <w:rStyle w:val="apple-converted-space"/>
          <w:rFonts w:ascii="Arial" w:hAnsi="Arial" w:cs="Arial"/>
          <w:color w:val="000000"/>
          <w:sz w:val="22"/>
          <w:szCs w:val="22"/>
          <w:lang w:val="es-MX"/>
        </w:rPr>
        <w:t> 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su punto de partida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. El nuevo paradigma que esta nueva corriente impone se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sustenta en una concepción de la medicina teórica basada en la experimentación y una medicina práctica basada en la verificación o validación.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Hasta llegar a este nuevo paradigma la ciencia médica tuvo que recorrer un largo camino.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Desde la perspectiva Aristotélica y su ulterior influjo, que discernía entre saber especulativo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(universal, cierto)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 xml:space="preserve"> y saber práctico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(particular, probable), hasta la concepción imperante a partir del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siglo XVII de una medicina teórica basada en la experimentación y una medicina práctica sustentada por la extrapolación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>.</w:t>
      </w:r>
    </w:p>
    <w:p w:rsidR="00012269" w:rsidRPr="00012269" w:rsidRDefault="00012269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Para la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medicina Aristotélica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, el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conocimiento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en la práctica médica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no puede ser nunca cierto sino sólo probable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>, entendiendo como probabilidad aquella opinión</w:t>
      </w:r>
      <w:r w:rsidRPr="00012269">
        <w:rPr>
          <w:rStyle w:val="apple-converted-space"/>
          <w:rFonts w:ascii="Arial" w:hAnsi="Arial" w:cs="Arial"/>
          <w:color w:val="000000"/>
          <w:sz w:val="22"/>
          <w:szCs w:val="22"/>
          <w:lang w:val="es-MX"/>
        </w:rPr>
        <w:t> </w:t>
      </w:r>
      <w:r w:rsidRPr="00012269">
        <w:rPr>
          <w:rFonts w:ascii="Arial" w:hAnsi="Arial" w:cs="Arial"/>
          <w:i/>
          <w:iCs/>
          <w:color w:val="000000"/>
          <w:sz w:val="22"/>
          <w:szCs w:val="22"/>
          <w:lang w:val="es-MX"/>
        </w:rPr>
        <w:t>(</w:t>
      </w:r>
      <w:proofErr w:type="spellStart"/>
      <w:r w:rsidRPr="00012269">
        <w:rPr>
          <w:rFonts w:ascii="Arial" w:hAnsi="Arial" w:cs="Arial"/>
          <w:i/>
          <w:iCs/>
          <w:color w:val="000000"/>
          <w:sz w:val="22"/>
          <w:szCs w:val="22"/>
          <w:lang w:val="es-MX"/>
        </w:rPr>
        <w:t>dox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>a</w:t>
      </w:r>
      <w:proofErr w:type="spellEnd"/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) que defienden las gentes más sabias y expertas (probabilidad subjetiva de hoy en día). La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toma de decisiones en esta línea de pensamiento está condicionada por la autoridad de quienes defienden una postura y, por tanto, no con la evidencia sino con la intención.</w:t>
      </w:r>
      <w:r>
        <w:rPr>
          <w:rFonts w:ascii="Arial" w:hAnsi="Arial" w:cs="Arial"/>
          <w:color w:val="000000"/>
          <w:sz w:val="22"/>
          <w:szCs w:val="22"/>
          <w:vertAlign w:val="superscript"/>
          <w:lang w:val="es-MX"/>
        </w:rPr>
        <w:t xml:space="preserve"> 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Con la llegada del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siglo XVII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Bernoulli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elabora la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teoría matemática de las probabilidades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(probabilidad objetiva), que sustituye la idea de certeza por la de probabilidad. Con este nuevo teorema, se hizo frente a dos cuestiones preocupantes desde la Edad Media: 1. ¿Cuál era la postura a tomar, cuando dos opiniones opuestas estuvieran defendidas exactamente por el mismo número de personas sabias (</w:t>
      </w:r>
      <w:proofErr w:type="spellStart"/>
      <w:r w:rsidRPr="00012269">
        <w:rPr>
          <w:rFonts w:ascii="Arial" w:hAnsi="Arial" w:cs="Arial"/>
          <w:color w:val="000000"/>
          <w:sz w:val="22"/>
          <w:szCs w:val="22"/>
          <w:lang w:val="es-MX"/>
        </w:rPr>
        <w:t>equiprobabilismo</w:t>
      </w:r>
      <w:proofErr w:type="spellEnd"/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)?; 2 ¿Podría ser admitida como válida sobre un tema concreto, la opinión de un solo autor sabio y experimentado? Frente a la primera cuestión se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admitía, que ambas opiniones, a pesar de ser opuestas, podrían ser válidas.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Para el segundo interrogante, también </w:t>
      </w:r>
      <w:r w:rsidRPr="00012269">
        <w:rPr>
          <w:rFonts w:ascii="Arial" w:hAnsi="Arial" w:cs="Arial"/>
          <w:color w:val="000000"/>
          <w:sz w:val="22"/>
          <w:szCs w:val="22"/>
          <w:u w:val="single"/>
          <w:lang w:val="es-MX"/>
        </w:rPr>
        <w:t>se consideraba que la opinión de un único sabio, debería ser considerada como prudente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>. La teoría de la probabilidad objetiva permitió calibrar el nivel de certeza, asignándole un valor objetivo (50%, 1%, etc.) de posibilidades de veracidad.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 xml:space="preserve"> A partir de este momento, la ciencia empírica o experimental dejó de ser un saber deductivo, para convertirse en inductivo, naciendo lo que Claude Bernard llamó medicina experimental.</w:t>
      </w:r>
    </w:p>
    <w:p w:rsidR="00012269" w:rsidRPr="00012269" w:rsidRDefault="00012269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El gran 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inconveniente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de esta línea de pensamiento deriva del hecho de que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 xml:space="preserve"> el saber práctico se adquiría exclusivamente por extrapolación del conocimiento teórico o experimental. 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Un error teórico (la barrera placentaria es impermeable a los medicamentos), conllevó por extrapolación los perniciosos efectos de la </w:t>
      </w:r>
      <w:proofErr w:type="spellStart"/>
      <w:r w:rsidRPr="00012269">
        <w:rPr>
          <w:rFonts w:ascii="Arial" w:hAnsi="Arial" w:cs="Arial"/>
          <w:color w:val="000000"/>
          <w:sz w:val="22"/>
          <w:szCs w:val="22"/>
          <w:lang w:val="es-MX"/>
        </w:rPr>
        <w:t>talidomida</w:t>
      </w:r>
      <w:proofErr w:type="spellEnd"/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en miles de recién nacidos.</w:t>
      </w:r>
    </w:p>
    <w:p w:rsidR="00012269" w:rsidRPr="00636C62" w:rsidRDefault="00012269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Con la llegada del siglo XX la medicina experimental se hizo más humilde, comenzando a ganar peso, lo que se denominó investigación clínica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, sustituyéndose los conceptos de analogía y extrapolación por los de verificación y evidencia. 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Los ensayos clínicos, la epidemiología clínica y el desarrollo de Internet fueron las herramientas que fomentarían, el cuerpo doctrinal de lo que hoy conocemos como MBE.</w:t>
      </w:r>
      <w:r w:rsidR="00636C62" w:rsidRPr="00636C62">
        <w:rPr>
          <w:rFonts w:ascii="Arial" w:hAnsi="Arial" w:cs="Arial"/>
          <w:color w:val="000000"/>
          <w:sz w:val="22"/>
          <w:szCs w:val="22"/>
          <w:lang w:val="es-MX"/>
        </w:rPr>
        <w:t xml:space="preserve"> (1)</w:t>
      </w:r>
    </w:p>
    <w:p w:rsidR="003B4D57" w:rsidRDefault="003B4D57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D76C1A" w:rsidRDefault="00D76C1A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D76C1A" w:rsidRDefault="00D76C1A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D76C1A" w:rsidRDefault="00D76C1A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D76C1A" w:rsidRDefault="00D76C1A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12269" w:rsidRPr="00012269" w:rsidRDefault="00012269" w:rsidP="00012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es-MX"/>
        </w:rPr>
      </w:pPr>
      <w:r w:rsidRPr="00012269">
        <w:rPr>
          <w:rFonts w:ascii="Arial" w:hAnsi="Arial" w:cs="Arial"/>
          <w:color w:val="000000"/>
          <w:sz w:val="22"/>
          <w:szCs w:val="22"/>
          <w:lang w:val="es-MX"/>
        </w:rPr>
        <w:t>Desde un punto de</w:t>
      </w:r>
      <w:r w:rsidRPr="00012269">
        <w:rPr>
          <w:rStyle w:val="apple-converted-space"/>
          <w:rFonts w:ascii="Arial" w:hAnsi="Arial" w:cs="Arial"/>
          <w:color w:val="000000"/>
          <w:sz w:val="22"/>
          <w:szCs w:val="22"/>
          <w:lang w:val="es-MX"/>
        </w:rPr>
        <w:t> </w:t>
      </w:r>
      <w:r w:rsidRPr="00012269">
        <w:rPr>
          <w:rFonts w:ascii="Arial" w:hAnsi="Arial" w:cs="Arial"/>
          <w:i/>
          <w:iCs/>
          <w:color w:val="000000"/>
          <w:sz w:val="22"/>
          <w:szCs w:val="22"/>
          <w:lang w:val="es-MX"/>
        </w:rPr>
        <w:t xml:space="preserve">vista </w:t>
      </w:r>
      <w:r w:rsidRPr="00211172">
        <w:rPr>
          <w:rFonts w:ascii="Arial" w:hAnsi="Arial" w:cs="Arial"/>
          <w:b/>
          <w:i/>
          <w:iCs/>
          <w:color w:val="000000"/>
          <w:sz w:val="22"/>
          <w:szCs w:val="22"/>
          <w:lang w:val="es-MX"/>
        </w:rPr>
        <w:t>tecnológico,</w:t>
      </w:r>
      <w:r w:rsidRPr="00012269"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lang w:val="es-MX"/>
        </w:rPr>
        <w:t> 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>un poderoso germen del ulterior desarrollo de la MBE fue la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 xml:space="preserve"> Escuela de Medicina de la Universidad </w:t>
      </w:r>
      <w:proofErr w:type="spellStart"/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McMaster</w:t>
      </w:r>
      <w:proofErr w:type="spellEnd"/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 xml:space="preserve"> en Hamilton, Ontario, Canadá. A finales 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lastRenderedPageBreak/>
        <w:t>de los años sesenta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se comenzó a desarrollar en esta Universidad, un 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programa educativo interdisciplinario centrado en la resolución de problemas individuales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>.</w:t>
      </w:r>
      <w:r w:rsidR="003B4D57">
        <w:rPr>
          <w:rFonts w:ascii="Arial" w:hAnsi="Arial" w:cs="Arial"/>
          <w:color w:val="000000"/>
          <w:sz w:val="22"/>
          <w:szCs w:val="22"/>
          <w:vertAlign w:val="superscript"/>
          <w:lang w:val="es-MX"/>
        </w:rPr>
        <w:t xml:space="preserve"> 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Este tipo de aprendizaje 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desarrolla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, como después veremos, una 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metodología muy similar a la propia de la MBE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: identificación del problema, búsqueda de información sobre el mismo, y resolución del problema en consonancia con la información recogida. Figura clave en el desarrollo de esta 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 xml:space="preserve">Escuela de Medicina, y uno de los pioneros en la divulgación y práctica de la MBE, fue el estadounidense David </w:t>
      </w:r>
      <w:proofErr w:type="spellStart"/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Sackett</w:t>
      </w:r>
      <w:proofErr w:type="spellEnd"/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, quien enfatizó sobre la importancia de la epidemiología y el conocimiento estadístico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, antes de aplicar sus teorías en el ejercicio de la práctica médica, siguiendo la corriente de la MBE. 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Otra figura trascendente de este nuevo paradigma fue el epidemiólogo británico Archie Cochrane, quien preocupado por la falta de trabajos controlados sobre la práctica médica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, impulsó a un grupo de investigadores de la Universidad de Oxford, entre otros a </w:t>
      </w:r>
      <w:proofErr w:type="spellStart"/>
      <w:r w:rsidRPr="00012269">
        <w:rPr>
          <w:rFonts w:ascii="Arial" w:hAnsi="Arial" w:cs="Arial"/>
          <w:color w:val="000000"/>
          <w:sz w:val="22"/>
          <w:szCs w:val="22"/>
          <w:lang w:val="es-MX"/>
        </w:rPr>
        <w:t>Iain</w:t>
      </w:r>
      <w:proofErr w:type="spellEnd"/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proofErr w:type="spellStart"/>
      <w:r w:rsidRPr="00012269">
        <w:rPr>
          <w:rFonts w:ascii="Arial" w:hAnsi="Arial" w:cs="Arial"/>
          <w:color w:val="000000"/>
          <w:sz w:val="22"/>
          <w:szCs w:val="22"/>
          <w:lang w:val="es-MX"/>
        </w:rPr>
        <w:t>Chalmers</w:t>
      </w:r>
      <w:proofErr w:type="spellEnd"/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, hacia la 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 xml:space="preserve">elaboración de una base de datos que recogiera revisiones sistemáticas de trabajos controlados y </w:t>
      </w:r>
      <w:proofErr w:type="spellStart"/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randomizados</w:t>
      </w:r>
      <w:proofErr w:type="spellEnd"/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, de donde se originaría lo que actualmente se conoce como Colaboración Cochrane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 (con centros diseminados por todo el mundo)</w:t>
      </w:r>
      <w:r w:rsidRPr="00012269">
        <w:rPr>
          <w:rFonts w:ascii="Arial" w:hAnsi="Arial" w:cs="Arial"/>
          <w:color w:val="000000"/>
          <w:sz w:val="22"/>
          <w:szCs w:val="22"/>
          <w:vertAlign w:val="superscript"/>
          <w:lang w:val="es-MX"/>
        </w:rPr>
        <w:t>7-9</w:t>
      </w:r>
      <w:r w:rsidRPr="00012269">
        <w:rPr>
          <w:rStyle w:val="apple-converted-space"/>
          <w:rFonts w:ascii="Arial" w:hAnsi="Arial" w:cs="Arial"/>
          <w:color w:val="000000"/>
          <w:sz w:val="22"/>
          <w:szCs w:val="22"/>
          <w:lang w:val="es-MX"/>
        </w:rPr>
        <w:t> 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>y también</w:t>
      </w:r>
      <w:r w:rsidRPr="00012269">
        <w:rPr>
          <w:rStyle w:val="apple-converted-space"/>
          <w:rFonts w:ascii="Arial" w:hAnsi="Arial" w:cs="Arial"/>
          <w:color w:val="000000"/>
          <w:sz w:val="22"/>
          <w:szCs w:val="22"/>
          <w:lang w:val="es-MX"/>
        </w:rPr>
        <w:t> </w:t>
      </w:r>
      <w:proofErr w:type="spellStart"/>
      <w:r w:rsidRPr="00012269">
        <w:rPr>
          <w:rFonts w:ascii="Arial" w:hAnsi="Arial" w:cs="Arial"/>
          <w:i/>
          <w:iCs/>
          <w:color w:val="000000"/>
          <w:sz w:val="22"/>
          <w:szCs w:val="22"/>
          <w:lang w:val="es-MX"/>
        </w:rPr>
        <w:t>The</w:t>
      </w:r>
      <w:proofErr w:type="spellEnd"/>
      <w:r w:rsidRPr="00012269">
        <w:rPr>
          <w:rFonts w:ascii="Arial" w:hAnsi="Arial" w:cs="Arial"/>
          <w:i/>
          <w:iCs/>
          <w:color w:val="000000"/>
          <w:sz w:val="22"/>
          <w:szCs w:val="22"/>
          <w:lang w:val="es-MX"/>
        </w:rPr>
        <w:t xml:space="preserve"> Cochrane Librar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y, obra de edición periódica en soporte electrónico de amplia difusión por Internet, en la que se recoge el trabajo de diferentes grupos de revisores e interesantes </w:t>
      </w:r>
      <w:r w:rsidR="003B2CBB" w:rsidRPr="00012269">
        <w:rPr>
          <w:rFonts w:ascii="Arial" w:hAnsi="Arial" w:cs="Arial"/>
          <w:color w:val="000000"/>
          <w:sz w:val="22"/>
          <w:szCs w:val="22"/>
          <w:lang w:val="es-MX"/>
        </w:rPr>
        <w:t>meta análisis</w:t>
      </w:r>
      <w:r w:rsidRPr="00012269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3B4D57">
        <w:rPr>
          <w:rFonts w:ascii="Arial" w:hAnsi="Arial" w:cs="Arial"/>
          <w:color w:val="000000"/>
          <w:sz w:val="22"/>
          <w:szCs w:val="22"/>
          <w:u w:val="single"/>
          <w:lang w:val="es-MX"/>
        </w:rPr>
        <w:t>Las ventajas de la MBE deben contemplarse desde una triple perspectiva: ventajas para el profesional de la salud, ventajas para el paciente, al ofrecerle la mejor alternativa (diagnóstica, terapéutica) existente, y beneficios para el sistema sanitario en su conjunto, al identificar y suprimir de forma más efectiva los cuidados ineficaces</w:t>
      </w:r>
      <w:r w:rsidRPr="00012269">
        <w:rPr>
          <w:rFonts w:ascii="Verdana" w:hAnsi="Verdana"/>
          <w:color w:val="000000"/>
          <w:sz w:val="20"/>
          <w:szCs w:val="20"/>
          <w:lang w:val="es-MX"/>
        </w:rPr>
        <w:t>.</w:t>
      </w:r>
      <w:r w:rsidR="00636C62">
        <w:rPr>
          <w:rFonts w:ascii="Verdana" w:hAnsi="Verdana"/>
          <w:color w:val="000000"/>
          <w:sz w:val="20"/>
          <w:szCs w:val="20"/>
          <w:lang w:val="es-MX"/>
        </w:rPr>
        <w:t xml:space="preserve"> (1)</w:t>
      </w:r>
      <w:r w:rsidR="006A72E8">
        <w:rPr>
          <w:rFonts w:ascii="Verdana" w:hAnsi="Verdana"/>
          <w:color w:val="000000"/>
          <w:sz w:val="20"/>
          <w:szCs w:val="20"/>
          <w:lang w:val="es-MX"/>
        </w:rPr>
        <w:t xml:space="preserve"> (4)</w:t>
      </w:r>
    </w:p>
    <w:p w:rsidR="00012269" w:rsidRPr="00012269" w:rsidRDefault="00012269" w:rsidP="00012269">
      <w:pPr>
        <w:rPr>
          <w:rFonts w:ascii="Candara" w:hAnsi="Candara" w:cs="Arial"/>
          <w:sz w:val="24"/>
          <w:szCs w:val="24"/>
          <w:shd w:val="clear" w:color="auto" w:fill="FFFFFF"/>
          <w:lang w:val="es-MX"/>
        </w:rPr>
      </w:pPr>
    </w:p>
    <w:p w:rsidR="003B2CBB" w:rsidRDefault="00012269" w:rsidP="003B2CBB">
      <w:pPr>
        <w:pStyle w:val="Prrafodelista"/>
        <w:numPr>
          <w:ilvl w:val="0"/>
          <w:numId w:val="1"/>
        </w:numPr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  <w:r w:rsidRPr="003B2CBB"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  <w:t xml:space="preserve">Tipos de estudios que se involucran </w:t>
      </w:r>
    </w:p>
    <w:p w:rsidR="00D85FB7" w:rsidRDefault="00D85FB7" w:rsidP="00D85FB7">
      <w:pPr>
        <w:pStyle w:val="Prrafodelista"/>
        <w:rPr>
          <w:rFonts w:ascii="Arial" w:hAnsi="Arial" w:cs="Arial"/>
          <w:shd w:val="clear" w:color="auto" w:fill="FFFFFF"/>
          <w:lang w:val="es-MX"/>
        </w:rPr>
      </w:pPr>
    </w:p>
    <w:p w:rsidR="003B2CBB" w:rsidRPr="0009522C" w:rsidRDefault="00D85FB7" w:rsidP="00843186">
      <w:pPr>
        <w:rPr>
          <w:rFonts w:ascii="Arial" w:hAnsi="Arial" w:cs="Arial"/>
          <w:shd w:val="clear" w:color="auto" w:fill="FFFFFF"/>
          <w:lang w:val="es-MX"/>
        </w:rPr>
      </w:pPr>
      <w:r w:rsidRPr="0009522C">
        <w:rPr>
          <w:rFonts w:ascii="Arial" w:hAnsi="Arial" w:cs="Arial"/>
          <w:shd w:val="clear" w:color="auto" w:fill="FFFFFF"/>
          <w:lang w:val="es-MX"/>
        </w:rPr>
        <w:t>Tipos de estudios: Descriptivos, Analíticos, Experimentales y No experimentales.</w:t>
      </w:r>
    </w:p>
    <w:p w:rsidR="003B2CBB" w:rsidRPr="0009522C" w:rsidRDefault="003B2CBB" w:rsidP="003B2CBB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  <w:lang w:val="es-MX"/>
        </w:rPr>
      </w:pPr>
      <w:r w:rsidRPr="0009522C">
        <w:rPr>
          <w:rFonts w:ascii="Arial" w:hAnsi="Arial" w:cs="Arial"/>
          <w:shd w:val="clear" w:color="auto" w:fill="FFFFFF"/>
          <w:lang w:val="es-MX"/>
        </w:rPr>
        <w:t>Estudio Longitudinal</w:t>
      </w:r>
    </w:p>
    <w:p w:rsidR="003B2CBB" w:rsidRPr="0009522C" w:rsidRDefault="003B2CBB" w:rsidP="003B2CBB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  <w:lang w:val="es-MX"/>
        </w:rPr>
      </w:pPr>
      <w:r w:rsidRPr="0009522C">
        <w:rPr>
          <w:rFonts w:ascii="Arial" w:hAnsi="Arial" w:cs="Arial"/>
          <w:shd w:val="clear" w:color="auto" w:fill="FFFFFF"/>
          <w:lang w:val="es-MX"/>
        </w:rPr>
        <w:t>Estudio Transversal</w:t>
      </w:r>
    </w:p>
    <w:p w:rsidR="003B2CBB" w:rsidRPr="0009522C" w:rsidRDefault="003B2CBB" w:rsidP="003B2CBB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  <w:lang w:val="es-MX"/>
        </w:rPr>
      </w:pPr>
      <w:r w:rsidRPr="0009522C">
        <w:rPr>
          <w:rFonts w:ascii="Arial" w:hAnsi="Arial" w:cs="Arial"/>
          <w:shd w:val="clear" w:color="auto" w:fill="FFFFFF"/>
          <w:lang w:val="es-MX"/>
        </w:rPr>
        <w:t>Ensayo Clínico</w:t>
      </w:r>
    </w:p>
    <w:p w:rsidR="003B2CBB" w:rsidRPr="0009522C" w:rsidRDefault="003B2CBB" w:rsidP="003B2CBB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  <w:lang w:val="es-MX"/>
        </w:rPr>
      </w:pPr>
      <w:r w:rsidRPr="0009522C">
        <w:rPr>
          <w:rFonts w:ascii="Arial" w:hAnsi="Arial" w:cs="Arial"/>
          <w:shd w:val="clear" w:color="auto" w:fill="FFFFFF"/>
          <w:lang w:val="es-MX"/>
        </w:rPr>
        <w:t>Estudio de Cohortes</w:t>
      </w:r>
    </w:p>
    <w:p w:rsidR="003B2CBB" w:rsidRPr="0009522C" w:rsidRDefault="003B2CBB" w:rsidP="003B2CBB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  <w:lang w:val="es-MX"/>
        </w:rPr>
      </w:pPr>
      <w:r w:rsidRPr="0009522C">
        <w:rPr>
          <w:rFonts w:ascii="Arial" w:hAnsi="Arial" w:cs="Arial"/>
          <w:shd w:val="clear" w:color="auto" w:fill="FFFFFF"/>
          <w:lang w:val="es-MX"/>
        </w:rPr>
        <w:t>Estudio de Casos y Controles</w:t>
      </w:r>
    </w:p>
    <w:p w:rsidR="003B2CBB" w:rsidRPr="0009522C" w:rsidRDefault="003B2CBB" w:rsidP="003B2CBB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  <w:lang w:val="es-MX"/>
        </w:rPr>
      </w:pPr>
      <w:r w:rsidRPr="0009522C">
        <w:rPr>
          <w:rFonts w:ascii="Arial" w:hAnsi="Arial" w:cs="Arial"/>
          <w:shd w:val="clear" w:color="auto" w:fill="FFFFFF"/>
          <w:lang w:val="es-MX"/>
        </w:rPr>
        <w:t>Series de Casos</w:t>
      </w:r>
      <w:r w:rsidR="006A72E8">
        <w:rPr>
          <w:rFonts w:ascii="Arial" w:hAnsi="Arial" w:cs="Arial"/>
          <w:shd w:val="clear" w:color="auto" w:fill="FFFFFF"/>
          <w:lang w:val="es-MX"/>
        </w:rPr>
        <w:t xml:space="preserve"> (2)</w:t>
      </w:r>
    </w:p>
    <w:p w:rsidR="003B2CBB" w:rsidRPr="0009522C" w:rsidRDefault="003B2CBB" w:rsidP="003B2CBB">
      <w:pPr>
        <w:ind w:left="360"/>
        <w:rPr>
          <w:rFonts w:ascii="Candara" w:hAnsi="Candara" w:cs="Arial"/>
          <w:b/>
          <w:i/>
          <w:shd w:val="clear" w:color="auto" w:fill="FFFFFF"/>
          <w:lang w:val="es-MX"/>
        </w:rPr>
      </w:pPr>
    </w:p>
    <w:p w:rsidR="00843186" w:rsidRDefault="00843186" w:rsidP="003B2CBB">
      <w:pPr>
        <w:ind w:left="360"/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</w:p>
    <w:p w:rsidR="00843186" w:rsidRDefault="00843186" w:rsidP="003B2CBB">
      <w:pPr>
        <w:ind w:left="360"/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</w:p>
    <w:p w:rsidR="00843186" w:rsidRDefault="00843186" w:rsidP="003B2CBB">
      <w:pPr>
        <w:ind w:left="360"/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</w:p>
    <w:p w:rsidR="00843186" w:rsidRDefault="00843186" w:rsidP="003B2CBB">
      <w:pPr>
        <w:ind w:left="360"/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</w:p>
    <w:p w:rsidR="00843186" w:rsidRDefault="00843186" w:rsidP="003B2CBB">
      <w:pPr>
        <w:ind w:left="360"/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</w:p>
    <w:p w:rsidR="00843186" w:rsidRDefault="00843186" w:rsidP="00211172">
      <w:pPr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</w:p>
    <w:p w:rsidR="0066681C" w:rsidRPr="003B2CBB" w:rsidRDefault="0066681C" w:rsidP="00211172">
      <w:pPr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  <w:bookmarkStart w:id="0" w:name="_GoBack"/>
      <w:bookmarkEnd w:id="0"/>
    </w:p>
    <w:p w:rsidR="00D27F25" w:rsidRPr="003B2CBB" w:rsidRDefault="00012269" w:rsidP="00012269">
      <w:pPr>
        <w:pStyle w:val="Prrafodelista"/>
        <w:numPr>
          <w:ilvl w:val="0"/>
          <w:numId w:val="1"/>
        </w:numPr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  <w:r w:rsidRPr="003B2CBB"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  <w:lastRenderedPageBreak/>
        <w:t>Tipos de sesgos en una tabla y sus respectivas diferencias.</w:t>
      </w:r>
      <w:r w:rsidR="006A72E8"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  <w:t xml:space="preserve"> </w:t>
      </w:r>
      <w:r w:rsidR="006A72E8" w:rsidRPr="006A72E8">
        <w:rPr>
          <w:rFonts w:ascii="Arial" w:hAnsi="Arial" w:cs="Arial"/>
          <w:sz w:val="24"/>
          <w:szCs w:val="24"/>
          <w:shd w:val="clear" w:color="auto" w:fill="FFFFFF"/>
          <w:lang w:val="es-MX"/>
        </w:rPr>
        <w:t>(3)</w:t>
      </w:r>
    </w:p>
    <w:tbl>
      <w:tblPr>
        <w:tblStyle w:val="Tablaconcuadrcula"/>
        <w:tblW w:w="10260" w:type="dxa"/>
        <w:tblInd w:w="-252" w:type="dxa"/>
        <w:tblLook w:val="04A0" w:firstRow="1" w:lastRow="0" w:firstColumn="1" w:lastColumn="0" w:noHBand="0" w:noVBand="1"/>
      </w:tblPr>
      <w:tblGrid>
        <w:gridCol w:w="2430"/>
        <w:gridCol w:w="7830"/>
      </w:tblGrid>
      <w:tr w:rsidR="00636C62" w:rsidTr="00D85FB7">
        <w:tc>
          <w:tcPr>
            <w:tcW w:w="2430" w:type="dxa"/>
          </w:tcPr>
          <w:p w:rsidR="00636C62" w:rsidRPr="00896C06" w:rsidRDefault="00636C62" w:rsidP="00636C62">
            <w:pPr>
              <w:jc w:val="center"/>
              <w:rPr>
                <w:rFonts w:ascii="Arial" w:hAnsi="Arial" w:cs="Arial"/>
                <w:b/>
                <w:szCs w:val="24"/>
                <w:shd w:val="clear" w:color="auto" w:fill="FFFFFF"/>
                <w:lang w:val="es-MX"/>
              </w:rPr>
            </w:pPr>
            <w:r w:rsidRPr="00896C06">
              <w:rPr>
                <w:rFonts w:ascii="Arial" w:hAnsi="Arial" w:cs="Arial"/>
                <w:b/>
                <w:szCs w:val="24"/>
                <w:shd w:val="clear" w:color="auto" w:fill="FFFFFF"/>
                <w:lang w:val="es-MX"/>
              </w:rPr>
              <w:t>Tipos de Sesgos</w:t>
            </w:r>
          </w:p>
        </w:tc>
        <w:tc>
          <w:tcPr>
            <w:tcW w:w="7830" w:type="dxa"/>
          </w:tcPr>
          <w:p w:rsidR="00636C62" w:rsidRPr="00896C06" w:rsidRDefault="00636C62" w:rsidP="00636C62">
            <w:pPr>
              <w:jc w:val="center"/>
              <w:rPr>
                <w:rFonts w:ascii="Arial" w:hAnsi="Arial" w:cs="Arial"/>
                <w:b/>
                <w:szCs w:val="24"/>
                <w:shd w:val="clear" w:color="auto" w:fill="FFFFFF"/>
                <w:lang w:val="es-MX"/>
              </w:rPr>
            </w:pPr>
            <w:r w:rsidRPr="00896C06">
              <w:rPr>
                <w:rFonts w:ascii="Arial" w:hAnsi="Arial" w:cs="Arial"/>
                <w:b/>
                <w:szCs w:val="24"/>
                <w:shd w:val="clear" w:color="auto" w:fill="FFFFFF"/>
                <w:lang w:val="es-MX"/>
              </w:rPr>
              <w:t>Diferencias</w:t>
            </w:r>
          </w:p>
        </w:tc>
      </w:tr>
      <w:tr w:rsidR="00636C62" w:rsidRPr="005315B0" w:rsidTr="00D85FB7">
        <w:tc>
          <w:tcPr>
            <w:tcW w:w="2430" w:type="dxa"/>
          </w:tcPr>
          <w:p w:rsidR="00636C62" w:rsidRPr="00896C06" w:rsidRDefault="00896C06" w:rsidP="00636C62">
            <w:pPr>
              <w:rPr>
                <w:rFonts w:ascii="Arial" w:hAnsi="Arial" w:cs="Arial"/>
                <w:shd w:val="clear" w:color="auto" w:fill="FFFFFF"/>
                <w:lang w:val="es-MX"/>
              </w:rPr>
            </w:pPr>
            <w:r w:rsidRPr="00896C06">
              <w:rPr>
                <w:rFonts w:ascii="Arial" w:hAnsi="Arial" w:cs="Arial"/>
                <w:shd w:val="clear" w:color="auto" w:fill="FFFFFF"/>
                <w:lang w:val="es-MX"/>
              </w:rPr>
              <w:t xml:space="preserve">Sesgo de selección </w:t>
            </w:r>
          </w:p>
        </w:tc>
        <w:tc>
          <w:tcPr>
            <w:tcW w:w="7830" w:type="dxa"/>
          </w:tcPr>
          <w:p w:rsidR="00D85FB7" w:rsidRPr="00D85FB7" w:rsidRDefault="00896C06" w:rsidP="00D85FB7">
            <w:pPr>
              <w:jc w:val="both"/>
              <w:rPr>
                <w:rFonts w:ascii="Arial" w:hAnsi="Arial" w:cs="Arial"/>
                <w:shd w:val="clear" w:color="auto" w:fill="FFFFFF"/>
                <w:lang w:val="es-MX"/>
              </w:rPr>
            </w:pPr>
            <w:r w:rsidRPr="00896C06">
              <w:rPr>
                <w:rFonts w:ascii="Arial" w:hAnsi="Arial" w:cs="Arial"/>
                <w:shd w:val="clear" w:color="auto" w:fill="FFFFFF"/>
                <w:lang w:val="es-MX"/>
              </w:rPr>
              <w:t>Se produce cuando se comparan tipos de pacientes que, además de diferir en los factores principales del estudio,  también difieren en otros que pueden afectar el resultado del mismo</w:t>
            </w:r>
            <w:r w:rsid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. </w:t>
            </w:r>
            <w:r w:rsidR="004C6C50" w:rsidRPr="00D85FB7">
              <w:rPr>
                <w:rFonts w:ascii="Arial" w:hAnsi="Arial" w:cs="Arial"/>
                <w:shd w:val="clear" w:color="auto" w:fill="FFFFFF"/>
                <w:lang w:val="es-MX"/>
              </w:rPr>
              <w:t>Cualquier</w:t>
            </w:r>
            <w:r w:rsidR="00D85FB7" w:rsidRP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 error que se deriva del proceso de identificación de la población</w:t>
            </w:r>
            <w:r w:rsid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 a </w:t>
            </w:r>
            <w:r w:rsidR="00D85FB7" w:rsidRP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estudiar. La distorsión resulta de la forma en que los sujetos han sido </w:t>
            </w:r>
            <w:r w:rsid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seleccionados. Estos sesgos se </w:t>
            </w:r>
            <w:r w:rsidR="00D85FB7" w:rsidRP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pueden cometer: </w:t>
            </w:r>
          </w:p>
          <w:p w:rsidR="00D85FB7" w:rsidRPr="00D85FB7" w:rsidRDefault="00D85FB7" w:rsidP="00D85FB7">
            <w:pPr>
              <w:jc w:val="both"/>
              <w:rPr>
                <w:rFonts w:ascii="Arial" w:hAnsi="Arial" w:cs="Arial"/>
                <w:shd w:val="clear" w:color="auto" w:fill="FFFFFF"/>
                <w:lang w:val="es-MX"/>
              </w:rPr>
            </w:pPr>
            <w:r w:rsidRP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a. Al seleccionar el grupo control. </w:t>
            </w:r>
          </w:p>
          <w:p w:rsidR="00D85FB7" w:rsidRPr="00D85FB7" w:rsidRDefault="00D85FB7" w:rsidP="00D85FB7">
            <w:pPr>
              <w:jc w:val="both"/>
              <w:rPr>
                <w:rFonts w:ascii="Arial" w:hAnsi="Arial" w:cs="Arial"/>
                <w:shd w:val="clear" w:color="auto" w:fill="FFFFFF"/>
                <w:lang w:val="es-MX"/>
              </w:rPr>
            </w:pPr>
            <w:r w:rsidRP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b. Al seleccionar el espacio </w:t>
            </w:r>
            <w:proofErr w:type="spellStart"/>
            <w:r w:rsidRPr="00D85FB7">
              <w:rPr>
                <w:rFonts w:ascii="Arial" w:hAnsi="Arial" w:cs="Arial"/>
                <w:shd w:val="clear" w:color="auto" w:fill="FFFFFF"/>
                <w:lang w:val="es-MX"/>
              </w:rPr>
              <w:t>muestral</w:t>
            </w:r>
            <w:proofErr w:type="spellEnd"/>
            <w:r w:rsidRP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 donde se realizará el estudio. </w:t>
            </w:r>
          </w:p>
          <w:p w:rsidR="00D85FB7" w:rsidRPr="00D85FB7" w:rsidRDefault="00D85FB7" w:rsidP="00D85FB7">
            <w:pPr>
              <w:jc w:val="both"/>
              <w:rPr>
                <w:rFonts w:ascii="Arial" w:hAnsi="Arial" w:cs="Arial"/>
                <w:shd w:val="clear" w:color="auto" w:fill="FFFFFF"/>
                <w:lang w:val="es-MX"/>
              </w:rPr>
            </w:pPr>
            <w:r w:rsidRP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c. Por pérdidas en el seguimiento. </w:t>
            </w:r>
          </w:p>
          <w:p w:rsidR="00636C62" w:rsidRPr="00896C06" w:rsidRDefault="00D85FB7" w:rsidP="00D85FB7">
            <w:pPr>
              <w:jc w:val="both"/>
              <w:rPr>
                <w:rFonts w:ascii="Arial" w:hAnsi="Arial" w:cs="Arial"/>
                <w:shd w:val="clear" w:color="auto" w:fill="FFFFFF"/>
                <w:lang w:val="es-MX"/>
              </w:rPr>
            </w:pPr>
            <w:r w:rsidRPr="00D85FB7">
              <w:rPr>
                <w:rFonts w:ascii="Arial" w:hAnsi="Arial" w:cs="Arial"/>
                <w:shd w:val="clear" w:color="auto" w:fill="FFFFFF"/>
                <w:lang w:val="es-MX"/>
              </w:rPr>
              <w:t xml:space="preserve">d. Por la presencia de una supervivencia selectiva. </w:t>
            </w:r>
          </w:p>
        </w:tc>
      </w:tr>
      <w:tr w:rsidR="00636C62" w:rsidRPr="005315B0" w:rsidTr="00D85FB7">
        <w:trPr>
          <w:trHeight w:val="70"/>
        </w:trPr>
        <w:tc>
          <w:tcPr>
            <w:tcW w:w="2430" w:type="dxa"/>
          </w:tcPr>
          <w:p w:rsidR="00636C62" w:rsidRPr="00896C06" w:rsidRDefault="00896C06" w:rsidP="00636C62">
            <w:pPr>
              <w:rPr>
                <w:rFonts w:ascii="Arial" w:hAnsi="Arial" w:cs="Arial"/>
                <w:shd w:val="clear" w:color="auto" w:fill="FFFFFF"/>
                <w:lang w:val="es-MX"/>
              </w:rPr>
            </w:pPr>
            <w:r w:rsidRPr="00896C06">
              <w:rPr>
                <w:rFonts w:ascii="Arial" w:hAnsi="Arial" w:cs="Arial"/>
                <w:shd w:val="clear" w:color="auto" w:fill="FFFFFF"/>
                <w:lang w:val="es-MX"/>
              </w:rPr>
              <w:t>Sesgo de medición</w:t>
            </w:r>
          </w:p>
        </w:tc>
        <w:tc>
          <w:tcPr>
            <w:tcW w:w="7830" w:type="dxa"/>
          </w:tcPr>
          <w:p w:rsidR="00636C62" w:rsidRPr="00896C06" w:rsidRDefault="00896C06" w:rsidP="00636C62">
            <w:pPr>
              <w:rPr>
                <w:rFonts w:ascii="Arial" w:hAnsi="Arial" w:cs="Arial"/>
                <w:szCs w:val="24"/>
                <w:shd w:val="clear" w:color="auto" w:fill="FFFFFF"/>
                <w:lang w:val="es-MX"/>
              </w:rPr>
            </w:pPr>
            <w:r w:rsidRPr="00896C06">
              <w:rPr>
                <w:rFonts w:ascii="Arial" w:hAnsi="Arial" w:cs="Arial"/>
                <w:szCs w:val="24"/>
                <w:shd w:val="clear" w:color="auto" w:fill="FFFFFF"/>
                <w:lang w:val="es-MX"/>
              </w:rPr>
              <w:t>Se producen cuando los métodos de medición difieren entre los diferentes grupos de pacientes.</w:t>
            </w:r>
          </w:p>
        </w:tc>
      </w:tr>
      <w:tr w:rsidR="00636C62" w:rsidRPr="005315B0" w:rsidTr="00D85FB7">
        <w:tc>
          <w:tcPr>
            <w:tcW w:w="2430" w:type="dxa"/>
          </w:tcPr>
          <w:p w:rsidR="00636C62" w:rsidRPr="00896C06" w:rsidRDefault="00896C06" w:rsidP="00636C62">
            <w:pPr>
              <w:rPr>
                <w:rFonts w:ascii="Arial" w:hAnsi="Arial" w:cs="Arial"/>
                <w:shd w:val="clear" w:color="auto" w:fill="FFFFFF"/>
                <w:lang w:val="es-MX"/>
              </w:rPr>
            </w:pPr>
            <w:r w:rsidRPr="00896C06">
              <w:rPr>
                <w:rFonts w:ascii="Arial" w:hAnsi="Arial" w:cs="Arial"/>
                <w:shd w:val="clear" w:color="auto" w:fill="FFFFFF"/>
                <w:lang w:val="es-MX"/>
              </w:rPr>
              <w:t xml:space="preserve">Sesgo de confusión </w:t>
            </w:r>
          </w:p>
        </w:tc>
        <w:tc>
          <w:tcPr>
            <w:tcW w:w="7830" w:type="dxa"/>
          </w:tcPr>
          <w:p w:rsidR="00636C62" w:rsidRPr="00896C06" w:rsidRDefault="00896C06" w:rsidP="00636C6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</w:pPr>
            <w:r w:rsidRPr="00896C06">
              <w:rPr>
                <w:rFonts w:ascii="Arial" w:hAnsi="Arial" w:cs="Arial"/>
                <w:szCs w:val="24"/>
                <w:shd w:val="clear" w:color="auto" w:fill="FFFFFF"/>
                <w:lang w:val="es-MX"/>
              </w:rPr>
              <w:t>Cuando el investigador intenta averiguar si un factor, como por ejemplo una conducta o una exposición  a un fármaco, es causa de enfermedad por sí mismo o si está relacionado con esta.</w:t>
            </w:r>
          </w:p>
        </w:tc>
      </w:tr>
      <w:tr w:rsidR="00843186" w:rsidRPr="005315B0" w:rsidTr="00D85FB7">
        <w:tc>
          <w:tcPr>
            <w:tcW w:w="2430" w:type="dxa"/>
          </w:tcPr>
          <w:p w:rsidR="00843186" w:rsidRPr="00896C06" w:rsidRDefault="00843186" w:rsidP="00636C62">
            <w:pPr>
              <w:rPr>
                <w:rFonts w:ascii="Arial" w:hAnsi="Arial" w:cs="Arial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shd w:val="clear" w:color="auto" w:fill="FFFFFF"/>
                <w:lang w:val="es-MX"/>
              </w:rPr>
              <w:t xml:space="preserve">Sesgo de información </w:t>
            </w:r>
          </w:p>
        </w:tc>
        <w:tc>
          <w:tcPr>
            <w:tcW w:w="7830" w:type="dxa"/>
          </w:tcPr>
          <w:p w:rsidR="00843186" w:rsidRPr="00896C06" w:rsidRDefault="00843186" w:rsidP="00636C62">
            <w:pPr>
              <w:rPr>
                <w:rFonts w:ascii="Arial" w:hAnsi="Arial" w:cs="Arial"/>
                <w:szCs w:val="24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  <w:lang w:val="es-MX"/>
              </w:rPr>
              <w:t xml:space="preserve">Cuando la información  que se obtiene de los grupos que se </w:t>
            </w:r>
            <w:r w:rsidR="004C6C50">
              <w:rPr>
                <w:rFonts w:ascii="Arial" w:hAnsi="Arial" w:cs="Arial"/>
                <w:szCs w:val="24"/>
                <w:shd w:val="clear" w:color="auto" w:fill="FFFFFF"/>
                <w:lang w:val="es-MX"/>
              </w:rPr>
              <w:t>está</w:t>
            </w:r>
            <w:r>
              <w:rPr>
                <w:rFonts w:ascii="Arial" w:hAnsi="Arial" w:cs="Arial"/>
                <w:szCs w:val="24"/>
                <w:shd w:val="clear" w:color="auto" w:fill="FFFFFF"/>
                <w:lang w:val="es-MX"/>
              </w:rPr>
              <w:t xml:space="preserve"> estudiando no es comparable</w:t>
            </w:r>
          </w:p>
        </w:tc>
      </w:tr>
    </w:tbl>
    <w:p w:rsidR="003B2CBB" w:rsidRPr="00636C62" w:rsidRDefault="003B2CBB" w:rsidP="004C6C50">
      <w:pPr>
        <w:rPr>
          <w:rFonts w:ascii="Candara" w:hAnsi="Candara" w:cs="Arial"/>
          <w:b/>
          <w:i/>
          <w:sz w:val="24"/>
          <w:szCs w:val="24"/>
          <w:shd w:val="clear" w:color="auto" w:fill="FFFFFF"/>
          <w:lang w:val="es-MX"/>
        </w:rPr>
      </w:pPr>
    </w:p>
    <w:p w:rsidR="00012269" w:rsidRDefault="00012269" w:rsidP="00636C6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sz w:val="24"/>
          <w:szCs w:val="24"/>
          <w:lang w:val="es-MX"/>
        </w:rPr>
      </w:pPr>
      <w:r w:rsidRPr="00012269">
        <w:rPr>
          <w:rFonts w:ascii="Candara" w:eastAsia="Times New Roman" w:hAnsi="Candara" w:cs="Arial"/>
          <w:b/>
          <w:i/>
          <w:sz w:val="24"/>
          <w:szCs w:val="24"/>
          <w:lang w:val="es-MX"/>
        </w:rPr>
        <w:t>Conceptos de Epidemiologia clínica</w:t>
      </w:r>
    </w:p>
    <w:p w:rsidR="00636C62" w:rsidRPr="00636C62" w:rsidRDefault="00636C62" w:rsidP="00636C62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sz w:val="24"/>
          <w:szCs w:val="24"/>
          <w:lang w:val="es-MX"/>
        </w:rPr>
      </w:pPr>
    </w:p>
    <w:p w:rsidR="00E94204" w:rsidRPr="00636C62" w:rsidRDefault="00E94204" w:rsidP="00636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MX"/>
        </w:rPr>
      </w:pPr>
      <w:r w:rsidRPr="00636C62">
        <w:rPr>
          <w:rFonts w:ascii="Arial" w:eastAsia="Times New Roman" w:hAnsi="Arial" w:cs="Arial"/>
          <w:lang w:val="es-MX"/>
        </w:rPr>
        <w:t xml:space="preserve">La </w:t>
      </w:r>
      <w:r w:rsidRPr="00636C62">
        <w:rPr>
          <w:rFonts w:ascii="Arial" w:eastAsia="Times New Roman" w:hAnsi="Arial" w:cs="Arial"/>
          <w:b/>
          <w:i/>
          <w:lang w:val="es-MX"/>
        </w:rPr>
        <w:t>epidemiologia</w:t>
      </w:r>
      <w:r w:rsidRPr="00636C62">
        <w:rPr>
          <w:rFonts w:ascii="Arial" w:eastAsia="Times New Roman" w:hAnsi="Arial" w:cs="Arial"/>
          <w:lang w:val="es-MX"/>
        </w:rPr>
        <w:t xml:space="preserve"> es la ciencia que estudia de forma </w:t>
      </w:r>
      <w:r w:rsidR="00636C62" w:rsidRPr="00636C62">
        <w:rPr>
          <w:rFonts w:ascii="Arial" w:eastAsia="Times New Roman" w:hAnsi="Arial" w:cs="Arial"/>
          <w:lang w:val="es-MX"/>
        </w:rPr>
        <w:t>sistemática</w:t>
      </w:r>
      <w:r w:rsidRPr="00636C62">
        <w:rPr>
          <w:rFonts w:ascii="Arial" w:eastAsia="Times New Roman" w:hAnsi="Arial" w:cs="Arial"/>
          <w:lang w:val="es-MX"/>
        </w:rPr>
        <w:t xml:space="preserve"> la frecuencia, la distribución y los factores</w:t>
      </w:r>
      <w:r w:rsidR="00636C62" w:rsidRPr="00636C62">
        <w:rPr>
          <w:rFonts w:ascii="Arial" w:eastAsia="Times New Roman" w:hAnsi="Arial" w:cs="Arial"/>
          <w:lang w:val="es-MX"/>
        </w:rPr>
        <w:t xml:space="preserve"> que determinan las enfermedades en los humanos.</w:t>
      </w:r>
      <w:r w:rsidR="00636C62">
        <w:rPr>
          <w:rFonts w:ascii="Arial" w:eastAsia="Times New Roman" w:hAnsi="Arial" w:cs="Arial"/>
          <w:lang w:val="es-MX"/>
        </w:rPr>
        <w:t xml:space="preserve"> (2)</w:t>
      </w:r>
    </w:p>
    <w:p w:rsidR="00636C62" w:rsidRPr="00636C62" w:rsidRDefault="00636C62" w:rsidP="00636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MX"/>
        </w:rPr>
      </w:pPr>
      <w:r w:rsidRPr="00636C62">
        <w:rPr>
          <w:rFonts w:ascii="Arial" w:eastAsia="Times New Roman" w:hAnsi="Arial" w:cs="Arial"/>
          <w:lang w:val="es-MX"/>
        </w:rPr>
        <w:t xml:space="preserve">La </w:t>
      </w:r>
      <w:r w:rsidRPr="00636C62">
        <w:rPr>
          <w:rFonts w:ascii="Arial" w:eastAsia="Times New Roman" w:hAnsi="Arial" w:cs="Arial"/>
          <w:b/>
          <w:i/>
          <w:lang w:val="es-MX"/>
        </w:rPr>
        <w:t>epidemiologia clínica</w:t>
      </w:r>
      <w:r w:rsidRPr="00636C62">
        <w:rPr>
          <w:rFonts w:ascii="Arial" w:eastAsia="Times New Roman" w:hAnsi="Arial" w:cs="Arial"/>
          <w:lang w:val="es-MX"/>
        </w:rPr>
        <w:t xml:space="preserve"> es la ciencia que consiste en formular predicciones sobre pacientes concretos, a partir del recuento de episodios clínicos que han tenido lugar en grupos de pacientes similares, y en utilizar métodos científicos sólidos para garantizar que dichas predicciones sean exactas.</w:t>
      </w:r>
      <w:r>
        <w:rPr>
          <w:rFonts w:ascii="Arial" w:eastAsia="Times New Roman" w:hAnsi="Arial" w:cs="Arial"/>
          <w:lang w:val="es-MX"/>
        </w:rPr>
        <w:t xml:space="preserve"> (3)</w:t>
      </w:r>
    </w:p>
    <w:p w:rsidR="0009522C" w:rsidRDefault="0009522C">
      <w:pPr>
        <w:rPr>
          <w:rFonts w:ascii="Arial" w:hAnsi="Arial" w:cs="Arial"/>
          <w:b/>
          <w:lang w:val="es-MX"/>
        </w:rPr>
      </w:pPr>
    </w:p>
    <w:p w:rsidR="00012269" w:rsidRPr="004C6C50" w:rsidRDefault="003B4D57">
      <w:pPr>
        <w:rPr>
          <w:rFonts w:ascii="Arial" w:hAnsi="Arial" w:cs="Arial"/>
          <w:b/>
          <w:lang w:val="es-MX"/>
        </w:rPr>
      </w:pPr>
      <w:r w:rsidRPr="004C6C50">
        <w:rPr>
          <w:rFonts w:ascii="Arial" w:hAnsi="Arial" w:cs="Arial"/>
          <w:b/>
          <w:lang w:val="es-MX"/>
        </w:rPr>
        <w:t>Bibliografías:</w:t>
      </w:r>
    </w:p>
    <w:p w:rsidR="004C6C50" w:rsidRPr="00A52735" w:rsidRDefault="006A72E8" w:rsidP="00A52735">
      <w:pPr>
        <w:pStyle w:val="Ttulo3"/>
        <w:numPr>
          <w:ilvl w:val="0"/>
          <w:numId w:val="4"/>
        </w:numPr>
        <w:shd w:val="clear" w:color="auto" w:fill="FFFFFF"/>
        <w:rPr>
          <w:rFonts w:ascii="Century Gothic" w:hAnsi="Century Gothic"/>
          <w:color w:val="800000"/>
          <w:sz w:val="24"/>
          <w:szCs w:val="24"/>
          <w:lang w:val="es-MX"/>
        </w:rPr>
      </w:pPr>
      <w:r>
        <w:rPr>
          <w:rFonts w:ascii="Century Gothic" w:hAnsi="Century Gothic"/>
          <w:b w:val="0"/>
          <w:i/>
          <w:iCs/>
          <w:color w:val="000000"/>
          <w:sz w:val="24"/>
          <w:szCs w:val="24"/>
          <w:shd w:val="clear" w:color="auto" w:fill="FFFFFF"/>
          <w:lang w:val="es-MX"/>
        </w:rPr>
        <w:t>(1)</w:t>
      </w:r>
      <w:r w:rsidR="004C6C50" w:rsidRPr="0009522C">
        <w:rPr>
          <w:rFonts w:ascii="Century Gothic" w:hAnsi="Century Gothic"/>
          <w:b w:val="0"/>
          <w:i/>
          <w:iCs/>
          <w:color w:val="000000"/>
          <w:sz w:val="24"/>
          <w:szCs w:val="24"/>
          <w:shd w:val="clear" w:color="auto" w:fill="FFFFFF"/>
          <w:lang w:val="es-MX"/>
        </w:rPr>
        <w:t xml:space="preserve">L.M. Junquera, J. Baladrón, J.M. Albertos, S. </w:t>
      </w:r>
      <w:proofErr w:type="spellStart"/>
      <w:r w:rsidR="004C6C50" w:rsidRPr="0009522C">
        <w:rPr>
          <w:rFonts w:ascii="Century Gothic" w:hAnsi="Century Gothic"/>
          <w:b w:val="0"/>
          <w:i/>
          <w:iCs/>
          <w:color w:val="000000"/>
          <w:sz w:val="24"/>
          <w:szCs w:val="24"/>
          <w:shd w:val="clear" w:color="auto" w:fill="FFFFFF"/>
          <w:lang w:val="es-MX"/>
        </w:rPr>
        <w:t>Olay</w:t>
      </w:r>
      <w:proofErr w:type="spellEnd"/>
      <w:r w:rsidR="004C6C50" w:rsidRPr="0009522C">
        <w:rPr>
          <w:rFonts w:ascii="Century Gothic" w:hAnsi="Century Gothic"/>
          <w:b w:val="0"/>
          <w:i/>
          <w:iCs/>
          <w:color w:val="000000"/>
          <w:sz w:val="24"/>
          <w:szCs w:val="24"/>
          <w:shd w:val="clear" w:color="auto" w:fill="FFFFFF"/>
          <w:vertAlign w:val="superscript"/>
          <w:lang w:val="es-MX"/>
        </w:rPr>
        <w:t xml:space="preserve"> </w:t>
      </w:r>
      <w:r w:rsidR="004C6C50" w:rsidRPr="0009522C">
        <w:rPr>
          <w:rFonts w:ascii="Century Gothic" w:hAnsi="Century Gothic" w:cs="Arial"/>
          <w:b w:val="0"/>
          <w:sz w:val="24"/>
          <w:szCs w:val="24"/>
          <w:lang w:val="es-MX"/>
        </w:rPr>
        <w:t xml:space="preserve">(2003). </w:t>
      </w:r>
      <w:r w:rsidR="004C6C50" w:rsidRPr="0009522C">
        <w:rPr>
          <w:rFonts w:ascii="Century Gothic" w:hAnsi="Century Gothic"/>
          <w:b w:val="0"/>
          <w:bCs w:val="0"/>
          <w:color w:val="000000"/>
          <w:sz w:val="24"/>
          <w:szCs w:val="24"/>
          <w:shd w:val="clear" w:color="auto" w:fill="FFFFFF"/>
          <w:lang w:val="es-MX"/>
        </w:rPr>
        <w:t>Medicina basada en la evidencia (MBE). Ventajas</w:t>
      </w:r>
      <w:r w:rsidR="004C6C50" w:rsidRPr="0009522C">
        <w:rPr>
          <w:rFonts w:ascii="Century Gothic" w:hAnsi="Century Gothic"/>
          <w:b w:val="0"/>
          <w:bCs w:val="0"/>
          <w:color w:val="auto"/>
          <w:sz w:val="24"/>
          <w:szCs w:val="24"/>
          <w:shd w:val="clear" w:color="auto" w:fill="FFFFFF"/>
          <w:lang w:val="es-MX"/>
        </w:rPr>
        <w:t xml:space="preserve">. </w:t>
      </w:r>
      <w:proofErr w:type="spellStart"/>
      <w:r w:rsidR="004C6C50" w:rsidRPr="0009522C">
        <w:rPr>
          <w:rFonts w:ascii="Century Gothic" w:hAnsi="Century Gothic"/>
          <w:b w:val="0"/>
          <w:i/>
          <w:color w:val="auto"/>
          <w:sz w:val="24"/>
          <w:szCs w:val="24"/>
          <w:lang w:val="es-MX"/>
        </w:rPr>
        <w:t>Rev</w:t>
      </w:r>
      <w:proofErr w:type="spellEnd"/>
      <w:r w:rsidR="004C6C50" w:rsidRPr="0009522C">
        <w:rPr>
          <w:rFonts w:ascii="Century Gothic" w:hAnsi="Century Gothic"/>
          <w:b w:val="0"/>
          <w:i/>
          <w:color w:val="auto"/>
          <w:sz w:val="24"/>
          <w:szCs w:val="24"/>
          <w:lang w:val="es-MX"/>
        </w:rPr>
        <w:t xml:space="preserve"> </w:t>
      </w:r>
      <w:proofErr w:type="spellStart"/>
      <w:r w:rsidR="004C6C50" w:rsidRPr="0009522C">
        <w:rPr>
          <w:rFonts w:ascii="Century Gothic" w:hAnsi="Century Gothic"/>
          <w:b w:val="0"/>
          <w:i/>
          <w:color w:val="auto"/>
          <w:sz w:val="24"/>
          <w:szCs w:val="24"/>
          <w:lang w:val="es-MX"/>
        </w:rPr>
        <w:t>Esp</w:t>
      </w:r>
      <w:proofErr w:type="spellEnd"/>
      <w:r w:rsidR="004C6C50" w:rsidRPr="0009522C">
        <w:rPr>
          <w:rFonts w:ascii="Century Gothic" w:hAnsi="Century Gothic"/>
          <w:b w:val="0"/>
          <w:i/>
          <w:color w:val="auto"/>
          <w:sz w:val="24"/>
          <w:szCs w:val="24"/>
          <w:lang w:val="es-MX"/>
        </w:rPr>
        <w:t xml:space="preserve"> </w:t>
      </w:r>
      <w:proofErr w:type="spellStart"/>
      <w:r w:rsidR="004C6C50" w:rsidRPr="0009522C">
        <w:rPr>
          <w:rFonts w:ascii="Century Gothic" w:hAnsi="Century Gothic"/>
          <w:b w:val="0"/>
          <w:i/>
          <w:color w:val="auto"/>
          <w:sz w:val="24"/>
          <w:szCs w:val="24"/>
          <w:lang w:val="es-MX"/>
        </w:rPr>
        <w:t>Cirug</w:t>
      </w:r>
      <w:proofErr w:type="spellEnd"/>
      <w:r w:rsidR="004C6C50" w:rsidRPr="0009522C">
        <w:rPr>
          <w:rFonts w:ascii="Century Gothic" w:hAnsi="Century Gothic"/>
          <w:b w:val="0"/>
          <w:i/>
          <w:color w:val="auto"/>
          <w:sz w:val="24"/>
          <w:szCs w:val="24"/>
          <w:lang w:val="es-MX"/>
        </w:rPr>
        <w:t xml:space="preserve"> Oral y </w:t>
      </w:r>
      <w:proofErr w:type="spellStart"/>
      <w:r w:rsidR="004C6C50" w:rsidRPr="0009522C">
        <w:rPr>
          <w:rFonts w:ascii="Century Gothic" w:hAnsi="Century Gothic"/>
          <w:b w:val="0"/>
          <w:i/>
          <w:color w:val="auto"/>
          <w:sz w:val="24"/>
          <w:szCs w:val="24"/>
          <w:lang w:val="es-MX"/>
        </w:rPr>
        <w:t>Maxilofac</w:t>
      </w:r>
      <w:proofErr w:type="spellEnd"/>
      <w:r w:rsidR="004C6C50" w:rsidRPr="0009522C">
        <w:rPr>
          <w:rFonts w:ascii="Century Gothic" w:hAnsi="Century Gothic"/>
          <w:b w:val="0"/>
          <w:color w:val="auto"/>
          <w:sz w:val="24"/>
          <w:szCs w:val="24"/>
          <w:lang w:val="es-MX"/>
        </w:rPr>
        <w:t> v.25 n.5</w:t>
      </w:r>
    </w:p>
    <w:p w:rsidR="004C6C50" w:rsidRPr="0009522C" w:rsidRDefault="006A72E8" w:rsidP="0009522C">
      <w:pPr>
        <w:pStyle w:val="Prrafodelista"/>
        <w:numPr>
          <w:ilvl w:val="0"/>
          <w:numId w:val="4"/>
        </w:numPr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</w:pPr>
      <w:r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 xml:space="preserve">(2) </w:t>
      </w:r>
      <w:r w:rsidR="004C6C50" w:rsidRPr="0009522C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>Arceo Díaz, José Luis; Ornelas Aguirre, José Manuel; Domínguez Salcido, Susana</w:t>
      </w:r>
      <w:r w:rsidR="0009522C" w:rsidRPr="0009522C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 xml:space="preserve"> (</w:t>
      </w:r>
      <w:r w:rsidR="004C6C50" w:rsidRPr="0009522C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>2</w:t>
      </w:r>
      <w:r w:rsidR="0009522C" w:rsidRPr="0009522C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>010)</w:t>
      </w:r>
      <w:r w:rsidR="004C6C50" w:rsidRPr="0009522C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 xml:space="preserve"> </w:t>
      </w:r>
      <w:r w:rsidR="004C6C50" w:rsidRPr="0009522C">
        <w:rPr>
          <w:rStyle w:val="textonegro"/>
          <w:rFonts w:ascii="Century Gothic" w:hAnsi="Century Gothic"/>
          <w:i/>
          <w:color w:val="000000"/>
          <w:sz w:val="24"/>
          <w:szCs w:val="24"/>
          <w:lang w:val="es-MX"/>
        </w:rPr>
        <w:t>Manual de Medicina Basada en Evidencias</w:t>
      </w:r>
      <w:r w:rsidR="0009522C" w:rsidRPr="0009522C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 xml:space="preserve">. </w:t>
      </w:r>
      <w:proofErr w:type="spellStart"/>
      <w:r w:rsidR="0009522C" w:rsidRPr="0009522C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>Mexico</w:t>
      </w:r>
      <w:proofErr w:type="spellEnd"/>
      <w:r w:rsidR="0009522C" w:rsidRPr="0009522C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>: Manual Moderno</w:t>
      </w:r>
    </w:p>
    <w:p w:rsidR="00A52735" w:rsidRPr="00A52735" w:rsidRDefault="006A72E8" w:rsidP="00A52735">
      <w:pPr>
        <w:pStyle w:val="Prrafodelista"/>
        <w:numPr>
          <w:ilvl w:val="0"/>
          <w:numId w:val="4"/>
        </w:numPr>
        <w:rPr>
          <w:rStyle w:val="textonegro"/>
          <w:rFonts w:ascii="Century Gothic" w:hAnsi="Century Gothic"/>
          <w:color w:val="000000"/>
          <w:sz w:val="24"/>
          <w:szCs w:val="24"/>
        </w:rPr>
      </w:pPr>
      <w:r>
        <w:rPr>
          <w:rStyle w:val="Textoennegrita"/>
          <w:rFonts w:ascii="Century Gothic" w:hAnsi="Century Gothic"/>
          <w:b w:val="0"/>
          <w:color w:val="000000"/>
          <w:sz w:val="24"/>
          <w:szCs w:val="24"/>
          <w:shd w:val="clear" w:color="auto" w:fill="FFFFFF"/>
        </w:rPr>
        <w:t xml:space="preserve">(3) </w:t>
      </w:r>
      <w:r w:rsidR="0009522C" w:rsidRPr="0009522C">
        <w:rPr>
          <w:rStyle w:val="Textoennegrita"/>
          <w:rFonts w:ascii="Century Gothic" w:hAnsi="Century Gothic"/>
          <w:b w:val="0"/>
          <w:color w:val="000000"/>
          <w:sz w:val="24"/>
          <w:szCs w:val="24"/>
          <w:shd w:val="clear" w:color="auto" w:fill="FFFFFF"/>
        </w:rPr>
        <w:t>Robert H. Fletcher, Suzanne W., Ph.D. Fletcher, Edward H., M.D. Wagner</w:t>
      </w:r>
      <w:r w:rsidR="0009522C" w:rsidRPr="0009522C">
        <w:rPr>
          <w:rStyle w:val="textonegro"/>
          <w:rFonts w:ascii="Century Gothic" w:hAnsi="Century Gothic"/>
          <w:color w:val="000000"/>
          <w:sz w:val="24"/>
          <w:szCs w:val="24"/>
        </w:rPr>
        <w:t xml:space="preserve"> (2008) </w:t>
      </w:r>
      <w:proofErr w:type="spellStart"/>
      <w:r w:rsidR="0009522C" w:rsidRPr="0009522C">
        <w:rPr>
          <w:rStyle w:val="textonegro"/>
          <w:rFonts w:ascii="Century Gothic" w:hAnsi="Century Gothic"/>
          <w:i/>
          <w:color w:val="000000"/>
          <w:sz w:val="24"/>
          <w:szCs w:val="24"/>
        </w:rPr>
        <w:t>Epidemiología</w:t>
      </w:r>
      <w:proofErr w:type="spellEnd"/>
      <w:r w:rsidR="0009522C" w:rsidRPr="0009522C">
        <w:rPr>
          <w:rStyle w:val="textonegro"/>
          <w:rFonts w:ascii="Century Gothic" w:hAnsi="Century Gothic"/>
          <w:i/>
          <w:color w:val="000000"/>
          <w:sz w:val="24"/>
          <w:szCs w:val="24"/>
        </w:rPr>
        <w:t xml:space="preserve"> </w:t>
      </w:r>
      <w:proofErr w:type="spellStart"/>
      <w:r w:rsidR="0009522C" w:rsidRPr="0009522C">
        <w:rPr>
          <w:rStyle w:val="textonegro"/>
          <w:rFonts w:ascii="Century Gothic" w:hAnsi="Century Gothic"/>
          <w:i/>
          <w:color w:val="000000"/>
          <w:sz w:val="24"/>
          <w:szCs w:val="24"/>
        </w:rPr>
        <w:t>Clínica</w:t>
      </w:r>
      <w:proofErr w:type="spellEnd"/>
      <w:r w:rsidR="0009522C" w:rsidRPr="0009522C">
        <w:rPr>
          <w:rStyle w:val="textonegro"/>
          <w:rFonts w:ascii="Century Gothic" w:hAnsi="Century Gothic"/>
          <w:i/>
          <w:color w:val="000000"/>
          <w:sz w:val="24"/>
          <w:szCs w:val="24"/>
        </w:rPr>
        <w:t>. U.K. :</w:t>
      </w:r>
      <w:proofErr w:type="spellStart"/>
      <w:r w:rsidR="0009522C" w:rsidRPr="0009522C">
        <w:rPr>
          <w:rStyle w:val="textonegro"/>
          <w:rFonts w:ascii="Century Gothic" w:hAnsi="Century Gothic"/>
          <w:color w:val="000000"/>
          <w:sz w:val="24"/>
          <w:szCs w:val="24"/>
        </w:rPr>
        <w:t>Lippinkott</w:t>
      </w:r>
      <w:proofErr w:type="spellEnd"/>
      <w:r w:rsidR="0009522C" w:rsidRPr="0009522C">
        <w:rPr>
          <w:rStyle w:val="textonegro"/>
          <w:rFonts w:ascii="Century Gothic" w:hAnsi="Century Gothic"/>
          <w:color w:val="000000"/>
          <w:sz w:val="24"/>
          <w:szCs w:val="24"/>
        </w:rPr>
        <w:t xml:space="preserve"> y Williams y Wilkins</w:t>
      </w:r>
      <w:r w:rsidR="00A52735" w:rsidRPr="00A52735">
        <w:t xml:space="preserve"> </w:t>
      </w:r>
      <w:r w:rsidR="00A52735" w:rsidRPr="00A52735">
        <w:rPr>
          <w:rStyle w:val="textonegro"/>
          <w:rFonts w:ascii="Century Gothic" w:hAnsi="Century Gothic"/>
          <w:color w:val="000000"/>
          <w:sz w:val="24"/>
          <w:szCs w:val="24"/>
        </w:rPr>
        <w:t xml:space="preserve">Edgar </w:t>
      </w:r>
    </w:p>
    <w:p w:rsidR="0009522C" w:rsidRPr="006A72E8" w:rsidRDefault="006A72E8" w:rsidP="006A72E8">
      <w:pPr>
        <w:pStyle w:val="Prrafodelista"/>
        <w:numPr>
          <w:ilvl w:val="0"/>
          <w:numId w:val="4"/>
        </w:numPr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</w:pPr>
      <w:r w:rsidRPr="006A72E8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 xml:space="preserve">(4) </w:t>
      </w:r>
      <w:r w:rsidR="00A52735" w:rsidRPr="006A72E8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 xml:space="preserve">Landa Ramírez, </w:t>
      </w:r>
      <w:proofErr w:type="spellStart"/>
      <w:r w:rsidR="00A52735" w:rsidRPr="006A72E8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>Aime</w:t>
      </w:r>
      <w:proofErr w:type="spellEnd"/>
      <w:r w:rsidR="00A52735" w:rsidRPr="006A72E8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 xml:space="preserve"> Edith Martínez </w:t>
      </w:r>
      <w:proofErr w:type="spellStart"/>
      <w:r w:rsidR="00A52735" w:rsidRPr="006A72E8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>Basurtoy</w:t>
      </w:r>
      <w:proofErr w:type="spellEnd"/>
      <w:r w:rsidR="00A52735" w:rsidRPr="006A72E8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 xml:space="preserve"> Juan José Sánchez Sosa (20013) </w:t>
      </w:r>
      <w:r w:rsidR="00A52735" w:rsidRPr="006A72E8">
        <w:rPr>
          <w:rStyle w:val="textonegro"/>
          <w:rFonts w:ascii="Century Gothic" w:hAnsi="Century Gothic"/>
          <w:i/>
          <w:color w:val="000000"/>
          <w:sz w:val="24"/>
          <w:szCs w:val="24"/>
          <w:lang w:val="es-MX"/>
        </w:rPr>
        <w:t>Medicina basada en la evidencia y su importancia en la medicina conductual</w:t>
      </w:r>
      <w:r w:rsidR="00A52735" w:rsidRPr="006A72E8">
        <w:rPr>
          <w:rStyle w:val="textonegro"/>
          <w:rFonts w:ascii="Century Gothic" w:hAnsi="Century Gothic"/>
          <w:color w:val="000000"/>
          <w:sz w:val="24"/>
          <w:szCs w:val="24"/>
          <w:lang w:val="es-MX"/>
        </w:rPr>
        <w:t>. Psicología y Salud, Vol. 23, Núm. 2:</w:t>
      </w:r>
    </w:p>
    <w:p w:rsidR="00A52735" w:rsidRPr="00A52735" w:rsidRDefault="00A52735" w:rsidP="00A52735">
      <w:pPr>
        <w:ind w:left="360"/>
        <w:rPr>
          <w:rFonts w:ascii="Century Gothic" w:hAnsi="Century Gothic"/>
          <w:i/>
          <w:color w:val="000000"/>
          <w:sz w:val="24"/>
          <w:szCs w:val="24"/>
          <w:lang w:val="es-MX"/>
        </w:rPr>
      </w:pPr>
    </w:p>
    <w:sectPr w:rsidR="00A52735" w:rsidRPr="00A52735" w:rsidSect="00012269">
      <w:pgSz w:w="12240" w:h="15840"/>
      <w:pgMar w:top="1440" w:right="1440" w:bottom="1440" w:left="144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88"/>
    <w:multiLevelType w:val="hybridMultilevel"/>
    <w:tmpl w:val="2206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05DB"/>
    <w:multiLevelType w:val="hybridMultilevel"/>
    <w:tmpl w:val="D9788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217E"/>
    <w:multiLevelType w:val="hybridMultilevel"/>
    <w:tmpl w:val="74405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E737D"/>
    <w:multiLevelType w:val="hybridMultilevel"/>
    <w:tmpl w:val="976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69"/>
    <w:rsid w:val="00012269"/>
    <w:rsid w:val="0009522C"/>
    <w:rsid w:val="001107E8"/>
    <w:rsid w:val="00211172"/>
    <w:rsid w:val="003B2CBB"/>
    <w:rsid w:val="003B4D57"/>
    <w:rsid w:val="004C6C50"/>
    <w:rsid w:val="005315B0"/>
    <w:rsid w:val="00636C62"/>
    <w:rsid w:val="0066681C"/>
    <w:rsid w:val="006A72E8"/>
    <w:rsid w:val="00843186"/>
    <w:rsid w:val="00896C06"/>
    <w:rsid w:val="00A52735"/>
    <w:rsid w:val="00D27F25"/>
    <w:rsid w:val="00D76C1A"/>
    <w:rsid w:val="00D85FB7"/>
    <w:rsid w:val="00E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C6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6C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01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12269"/>
    <w:rPr>
      <w:b/>
      <w:bCs/>
    </w:rPr>
  </w:style>
  <w:style w:type="character" w:customStyle="1" w:styleId="apple-converted-space">
    <w:name w:val="apple-converted-space"/>
    <w:basedOn w:val="Fuentedeprrafopredeter"/>
    <w:rsid w:val="00012269"/>
  </w:style>
  <w:style w:type="paragraph" w:styleId="Prrafodelista">
    <w:name w:val="List Paragraph"/>
    <w:basedOn w:val="Normal"/>
    <w:uiPriority w:val="34"/>
    <w:qFormat/>
    <w:rsid w:val="00012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2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1226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3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C6C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4C6C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negro">
    <w:name w:val="textonegro"/>
    <w:basedOn w:val="Fuentedeprrafopredeter"/>
    <w:rsid w:val="004C6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C6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6C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01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12269"/>
    <w:rPr>
      <w:b/>
      <w:bCs/>
    </w:rPr>
  </w:style>
  <w:style w:type="character" w:customStyle="1" w:styleId="apple-converted-space">
    <w:name w:val="apple-converted-space"/>
    <w:basedOn w:val="Fuentedeprrafopredeter"/>
    <w:rsid w:val="00012269"/>
  </w:style>
  <w:style w:type="paragraph" w:styleId="Prrafodelista">
    <w:name w:val="List Paragraph"/>
    <w:basedOn w:val="Normal"/>
    <w:uiPriority w:val="34"/>
    <w:qFormat/>
    <w:rsid w:val="00012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2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1226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3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C6C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4C6C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negro">
    <w:name w:val="textonegro"/>
    <w:basedOn w:val="Fuentedeprrafopredeter"/>
    <w:rsid w:val="004C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6</cp:revision>
  <dcterms:created xsi:type="dcterms:W3CDTF">2014-02-13T09:18:00Z</dcterms:created>
  <dcterms:modified xsi:type="dcterms:W3CDTF">2014-02-13T09:20:00Z</dcterms:modified>
</cp:coreProperties>
</file>