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8" w:rsidRPr="00C40817" w:rsidRDefault="00692E98" w:rsidP="00C04F93">
      <w:pPr>
        <w:jc w:val="center"/>
        <w:rPr>
          <w:rFonts w:ascii="Century Gothic" w:hAnsi="Century Gothic"/>
          <w:b/>
          <w:bCs/>
        </w:rPr>
      </w:pPr>
      <w:r w:rsidRPr="00C40817">
        <w:rPr>
          <w:rFonts w:ascii="Century Gothic" w:hAnsi="Century Gothic"/>
          <w:b/>
          <w:bCs/>
          <w:noProof/>
          <w:lang w:eastAsia="es-MX"/>
        </w:rPr>
        <w:drawing>
          <wp:inline distT="0" distB="0" distL="0" distR="0">
            <wp:extent cx="3083293" cy="847165"/>
            <wp:effectExtent l="19050" t="0" r="2807" b="0"/>
            <wp:docPr id="1" name="Imagen 1" descr="http://paginas.seccionamarilla.com.mx/img/upload/lama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12" cy="8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E98" w:rsidRDefault="00692E98" w:rsidP="00C40817">
      <w:pPr>
        <w:jc w:val="right"/>
        <w:rPr>
          <w:rFonts w:ascii="Century Gothic" w:hAnsi="Century Gothic" w:cs="Arial"/>
          <w:b/>
          <w:bCs/>
          <w:sz w:val="48"/>
        </w:rPr>
      </w:pPr>
    </w:p>
    <w:p w:rsidR="00C40817" w:rsidRDefault="00C40817" w:rsidP="00C40817">
      <w:pPr>
        <w:jc w:val="right"/>
        <w:rPr>
          <w:rFonts w:ascii="Century Gothic" w:hAnsi="Century Gothic" w:cs="Arial"/>
          <w:b/>
          <w:bCs/>
          <w:sz w:val="48"/>
        </w:rPr>
      </w:pPr>
    </w:p>
    <w:p w:rsidR="00C40817" w:rsidRPr="00C40817" w:rsidRDefault="00C40817" w:rsidP="00C40817">
      <w:pPr>
        <w:jc w:val="right"/>
        <w:rPr>
          <w:rFonts w:ascii="Century Gothic" w:hAnsi="Century Gothic" w:cs="Arial"/>
          <w:b/>
          <w:bCs/>
          <w:sz w:val="48"/>
        </w:rPr>
      </w:pPr>
    </w:p>
    <w:p w:rsidR="00B837B1" w:rsidRPr="00C40817" w:rsidRDefault="00B837B1" w:rsidP="00B837B1">
      <w:pPr>
        <w:pStyle w:val="Sinespaciado"/>
        <w:jc w:val="center"/>
        <w:rPr>
          <w:rFonts w:ascii="Century Gothic" w:hAnsi="Century Gothic" w:cs="Arial"/>
          <w:b/>
          <w:sz w:val="52"/>
        </w:rPr>
      </w:pPr>
      <w:r w:rsidRPr="00C40817">
        <w:rPr>
          <w:rFonts w:ascii="Century Gothic" w:hAnsi="Century Gothic" w:cs="Arial"/>
          <w:b/>
          <w:sz w:val="52"/>
        </w:rPr>
        <w:t>Actividad Preliminar</w:t>
      </w:r>
    </w:p>
    <w:p w:rsidR="00692E98" w:rsidRPr="00C40817" w:rsidRDefault="00B837B1" w:rsidP="00B837B1">
      <w:pPr>
        <w:pStyle w:val="Sinespaciado"/>
        <w:jc w:val="center"/>
        <w:rPr>
          <w:rFonts w:ascii="Century Gothic" w:hAnsi="Century Gothic" w:cs="Arial"/>
          <w:b/>
          <w:bCs/>
          <w:sz w:val="52"/>
        </w:rPr>
      </w:pPr>
      <w:r w:rsidRPr="00C40817">
        <w:rPr>
          <w:rFonts w:ascii="Century Gothic" w:hAnsi="Century Gothic" w:cs="Arial"/>
          <w:b/>
          <w:sz w:val="52"/>
        </w:rPr>
        <w:t>"Conceptos de Epidemiologia Clínica"</w:t>
      </w:r>
    </w:p>
    <w:p w:rsidR="00B837B1" w:rsidRPr="00C40817" w:rsidRDefault="00B837B1" w:rsidP="00692E98">
      <w:pPr>
        <w:jc w:val="center"/>
        <w:rPr>
          <w:rFonts w:ascii="Century Gothic" w:hAnsi="Century Gothic" w:cs="Arial"/>
          <w:b/>
          <w:bCs/>
          <w:sz w:val="32"/>
        </w:rPr>
      </w:pPr>
    </w:p>
    <w:p w:rsidR="00692E98" w:rsidRPr="00C40817" w:rsidRDefault="00692E98" w:rsidP="00C40817">
      <w:pPr>
        <w:rPr>
          <w:rFonts w:ascii="Century Gothic" w:hAnsi="Century Gothic" w:cs="Arial"/>
          <w:b/>
          <w:bCs/>
          <w:sz w:val="32"/>
        </w:rPr>
      </w:pPr>
    </w:p>
    <w:p w:rsidR="00692E98" w:rsidRPr="00C40817" w:rsidRDefault="00692E98" w:rsidP="00692E98">
      <w:pPr>
        <w:jc w:val="center"/>
        <w:rPr>
          <w:rFonts w:ascii="Century Gothic" w:hAnsi="Century Gothic" w:cs="Arial"/>
          <w:b/>
          <w:bCs/>
          <w:sz w:val="32"/>
        </w:rPr>
      </w:pPr>
    </w:p>
    <w:p w:rsidR="00C40817" w:rsidRPr="00C40817" w:rsidRDefault="00C40817" w:rsidP="00C40817">
      <w:pPr>
        <w:jc w:val="right"/>
        <w:rPr>
          <w:rFonts w:ascii="Century Gothic" w:hAnsi="Century Gothic" w:cs="Arial"/>
          <w:b/>
          <w:bCs/>
          <w:sz w:val="32"/>
        </w:rPr>
      </w:pPr>
    </w:p>
    <w:p w:rsidR="00C40817" w:rsidRPr="00C40817" w:rsidRDefault="00C40817" w:rsidP="00C40817">
      <w:pPr>
        <w:jc w:val="right"/>
        <w:rPr>
          <w:rFonts w:ascii="Century Gothic" w:hAnsi="Century Gothic" w:cs="Arial"/>
          <w:b/>
          <w:bCs/>
          <w:sz w:val="32"/>
        </w:rPr>
      </w:pPr>
    </w:p>
    <w:p w:rsidR="00C40817" w:rsidRPr="00C40817" w:rsidRDefault="00C40817" w:rsidP="00C40817">
      <w:pPr>
        <w:rPr>
          <w:rFonts w:ascii="Century Gothic" w:hAnsi="Century Gothic" w:cs="Arial"/>
          <w:b/>
          <w:bCs/>
          <w:sz w:val="32"/>
        </w:rPr>
      </w:pPr>
    </w:p>
    <w:p w:rsidR="00C40817" w:rsidRPr="00C40817" w:rsidRDefault="00C40817" w:rsidP="00C40817">
      <w:pPr>
        <w:jc w:val="right"/>
        <w:rPr>
          <w:rFonts w:ascii="Century Gothic" w:hAnsi="Century Gothic" w:cs="Arial"/>
          <w:b/>
          <w:bCs/>
          <w:sz w:val="32"/>
        </w:rPr>
      </w:pPr>
      <w:proofErr w:type="spellStart"/>
      <w:r w:rsidRPr="00C40817">
        <w:rPr>
          <w:rFonts w:ascii="Century Gothic" w:hAnsi="Century Gothic" w:cs="Arial"/>
          <w:b/>
          <w:bCs/>
          <w:sz w:val="32"/>
        </w:rPr>
        <w:t>Krizia</w:t>
      </w:r>
      <w:proofErr w:type="spellEnd"/>
      <w:r w:rsidRPr="00C40817">
        <w:rPr>
          <w:rFonts w:ascii="Century Gothic" w:hAnsi="Century Gothic" w:cs="Arial"/>
          <w:b/>
          <w:bCs/>
          <w:sz w:val="32"/>
        </w:rPr>
        <w:t xml:space="preserve"> Campillo </w:t>
      </w:r>
      <w:proofErr w:type="spellStart"/>
      <w:r w:rsidRPr="00C40817">
        <w:rPr>
          <w:rFonts w:ascii="Century Gothic" w:hAnsi="Century Gothic" w:cs="Arial"/>
          <w:b/>
          <w:bCs/>
          <w:sz w:val="32"/>
        </w:rPr>
        <w:t>Gomez</w:t>
      </w:r>
      <w:proofErr w:type="spellEnd"/>
    </w:p>
    <w:p w:rsidR="00C40817" w:rsidRPr="00C40817" w:rsidRDefault="00C40817" w:rsidP="00C40817">
      <w:pPr>
        <w:jc w:val="right"/>
        <w:rPr>
          <w:rFonts w:ascii="Century Gothic" w:hAnsi="Century Gothic" w:cs="Arial"/>
          <w:b/>
          <w:bCs/>
          <w:sz w:val="32"/>
        </w:rPr>
      </w:pPr>
      <w:r w:rsidRPr="00C40817">
        <w:rPr>
          <w:rFonts w:ascii="Century Gothic" w:hAnsi="Century Gothic" w:cs="Arial"/>
          <w:b/>
          <w:bCs/>
          <w:sz w:val="32"/>
        </w:rPr>
        <w:t>LME2991</w:t>
      </w:r>
    </w:p>
    <w:p w:rsidR="00692E98" w:rsidRPr="00C40817" w:rsidRDefault="00C40817" w:rsidP="00C40817">
      <w:pPr>
        <w:tabs>
          <w:tab w:val="left" w:pos="5245"/>
        </w:tabs>
        <w:jc w:val="right"/>
        <w:rPr>
          <w:rFonts w:ascii="Century Gothic" w:hAnsi="Century Gothic" w:cs="Arial"/>
          <w:b/>
          <w:bCs/>
          <w:sz w:val="32"/>
        </w:rPr>
      </w:pPr>
      <w:r w:rsidRPr="00C40817">
        <w:rPr>
          <w:rFonts w:ascii="Century Gothic" w:hAnsi="Century Gothic" w:cs="Arial"/>
          <w:b/>
          <w:bCs/>
          <w:sz w:val="32"/>
        </w:rPr>
        <w:t>Medicina basada en evidencias</w:t>
      </w:r>
      <w:r w:rsidR="00692E98" w:rsidRPr="00C40817">
        <w:rPr>
          <w:rFonts w:ascii="Century Gothic" w:hAnsi="Century Gothic" w:cs="Arial"/>
          <w:b/>
          <w:bCs/>
          <w:sz w:val="32"/>
        </w:rPr>
        <w:br w:type="page"/>
      </w:r>
    </w:p>
    <w:p w:rsidR="00B61F5F" w:rsidRDefault="00B61F5F" w:rsidP="00B61F5F">
      <w:pPr>
        <w:jc w:val="center"/>
        <w:rPr>
          <w:rFonts w:ascii="Century Gothic" w:hAnsi="Century Gothic" w:cs="Arial"/>
          <w:b/>
          <w:sz w:val="32"/>
          <w:szCs w:val="24"/>
        </w:rPr>
      </w:pPr>
      <w:r w:rsidRPr="00C40817">
        <w:rPr>
          <w:rFonts w:ascii="Century Gothic" w:hAnsi="Century Gothic" w:cs="Arial"/>
          <w:b/>
          <w:sz w:val="32"/>
          <w:szCs w:val="24"/>
        </w:rPr>
        <w:lastRenderedPageBreak/>
        <w:t>H</w:t>
      </w:r>
      <w:r w:rsidR="00B837B1" w:rsidRPr="00C40817">
        <w:rPr>
          <w:rFonts w:ascii="Century Gothic" w:hAnsi="Century Gothic" w:cs="Arial"/>
          <w:b/>
          <w:sz w:val="32"/>
          <w:szCs w:val="24"/>
        </w:rPr>
        <w:t>istoria de la medicina basada en evidencias</w:t>
      </w:r>
    </w:p>
    <w:p w:rsidR="00C40817" w:rsidRPr="00C40817" w:rsidRDefault="00C40817" w:rsidP="00B61F5F">
      <w:pPr>
        <w:jc w:val="center"/>
        <w:rPr>
          <w:rFonts w:ascii="Century Gothic" w:hAnsi="Century Gothic" w:cs="Arial"/>
          <w:b/>
          <w:sz w:val="32"/>
          <w:szCs w:val="24"/>
        </w:rPr>
      </w:pPr>
    </w:p>
    <w:p w:rsidR="003A0031" w:rsidRPr="00C40817" w:rsidRDefault="003A0031" w:rsidP="00B61F5F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Poco es lo que se conoce de sus orígenes, sus entusiastas promotores fueron calificados como escépticos postrevolucionarios de París de mediados del siglo XIX como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Bichat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, Louis y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Magendie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3A0031" w:rsidRPr="00C40817" w:rsidRDefault="003A0031" w:rsidP="00B61F5F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Respecto de la historia más reciente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>a</w:t>
      </w:r>
      <w:r w:rsidR="00C54D12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partir de la década de los 60’s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, en 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la Escuela de Medicina de la Univer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sidad </w:t>
      </w:r>
      <w:proofErr w:type="spellStart"/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>McMaster</w:t>
      </w:r>
      <w:proofErr w:type="spellEnd"/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en Hamilton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>(Ontario, Canadá), s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urge 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>una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novedosa propuesta educativa </w:t>
      </w:r>
      <w:r w:rsidR="00D76E3C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que es, 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su orientación comunitaria centrada en las personas, interdisciplinaria y con aprendizaje basado en problemas.</w:t>
      </w:r>
    </w:p>
    <w:p w:rsidR="003A0031" w:rsidRPr="00C40817" w:rsidRDefault="00C54D12" w:rsidP="00B61F5F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David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Sackett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, es uno de los más prestigiosos investigadores de este grupo,</w:t>
      </w:r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cuando e</w:t>
      </w:r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ste médico estadounidense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comenzó su carrera como investigador clínico y básico en nefrología detectó la importancia de la epidemiología y las estadísticas. Posteriormente fue convocado por John Evans en 1967 a 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McMaster</w:t>
      </w:r>
      <w:proofErr w:type="spellEnd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para comenzar a desarrollar el Departamento de Epidemiología y Bioestadística. Entre las muchas iniciativas que ha promovido en la investigación médica canadiense se incluye la 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“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Task</w:t>
      </w:r>
      <w:proofErr w:type="spellEnd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Force</w:t>
      </w:r>
      <w:proofErr w:type="spellEnd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on</w:t>
      </w:r>
      <w:proofErr w:type="spellEnd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Periodic</w:t>
      </w:r>
      <w:proofErr w:type="spellEnd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Health</w:t>
      </w:r>
      <w:proofErr w:type="spellEnd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>Examinations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”</w:t>
      </w:r>
      <w:r w:rsidR="003A0031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de amplia repercusión mundial al resaltar el énfasis en la prevención basada en la evidencia. </w:t>
      </w:r>
    </w:p>
    <w:p w:rsidR="00C54D12" w:rsidRPr="00C40817" w:rsidRDefault="00C54D12" w:rsidP="00B61F5F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En 1972, Archie Cochrane (1909-1988), famoso epidemiólogo inglés reconoce que los recursos de salud son siempre limitados</w:t>
      </w:r>
      <w:r w:rsidR="00CA7FAB" w:rsidRPr="00C40817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CA7FAB" w:rsidRPr="00C40817">
        <w:rPr>
          <w:rFonts w:ascii="Century Gothic" w:hAnsi="Century Gothic" w:cs="Arial"/>
          <w:color w:val="000000" w:themeColor="text1"/>
          <w:sz w:val="24"/>
          <w:szCs w:val="24"/>
        </w:rPr>
        <w:t>por lo que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sugirió que la efectividad de las prácticas relacionadas a la salud debe ser juzgada sobre la base de las pruebas procedentes de trabajos controlados. En 1978 escribió sobre su preocupación por la falta de resúmenes o revisiones que agrupen este tipo</w:t>
      </w:r>
      <w:r w:rsidR="00CA7FAB"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de trabajos,</w:t>
      </w:r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publica “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Effectiveness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and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eficiency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;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random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reflections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on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the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health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>services</w:t>
      </w:r>
      <w:proofErr w:type="spellEnd"/>
      <w:r w:rsidRPr="00C40817">
        <w:rPr>
          <w:rFonts w:ascii="Century Gothic" w:hAnsi="Century Gothic" w:cs="Arial"/>
          <w:color w:val="000000" w:themeColor="text1"/>
          <w:sz w:val="24"/>
          <w:szCs w:val="24"/>
        </w:rPr>
        <w:t xml:space="preserve">”, libro bastante influyente en el que argumentaba que los escasos recursos existentes en el cuidado de la salud podían ser eficientemente manejados, solo si conocíamos </w:t>
      </w:r>
      <w:r w:rsidR="00CA7FAB" w:rsidRPr="00C40817">
        <w:rPr>
          <w:rFonts w:ascii="Century Gothic" w:hAnsi="Century Gothic" w:cs="Arial"/>
          <w:color w:val="000000" w:themeColor="text1"/>
          <w:sz w:val="24"/>
          <w:szCs w:val="24"/>
        </w:rPr>
        <w:t>la efectividad de los tratamientos.</w:t>
      </w:r>
    </w:p>
    <w:p w:rsidR="00C40817" w:rsidRDefault="00B61F5F" w:rsidP="00C40817">
      <w:pPr>
        <w:jc w:val="both"/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 xml:space="preserve">Así, en 1991 es acuñada por primera vez en una publicación del ACP </w:t>
      </w:r>
      <w:proofErr w:type="spellStart"/>
      <w:r w:rsidRPr="00C40817">
        <w:rPr>
          <w:rFonts w:ascii="Century Gothic" w:hAnsi="Century Gothic" w:cs="Arial"/>
          <w:sz w:val="24"/>
          <w:szCs w:val="24"/>
        </w:rPr>
        <w:t>Journal</w:t>
      </w:r>
      <w:proofErr w:type="spellEnd"/>
      <w:r w:rsidRPr="00C40817">
        <w:rPr>
          <w:rFonts w:ascii="Century Gothic" w:hAnsi="Century Gothic" w:cs="Arial"/>
          <w:sz w:val="24"/>
          <w:szCs w:val="24"/>
        </w:rPr>
        <w:t xml:space="preserve"> Club la expresión “medicina basada en la evidencia”, y a partir de ese momento el crecimiento fue exponencial: publicaciones, libros, cursos, páginas web, etc.</w:t>
      </w:r>
    </w:p>
    <w:p w:rsidR="00B61F5F" w:rsidRPr="00C40817" w:rsidRDefault="00B61F5F" w:rsidP="00C40817">
      <w:pPr>
        <w:jc w:val="both"/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b/>
          <w:sz w:val="24"/>
          <w:szCs w:val="24"/>
        </w:rPr>
        <w:lastRenderedPageBreak/>
        <w:t>Tipos de estudios que se involucran</w:t>
      </w:r>
    </w:p>
    <w:p w:rsidR="00FC7A10" w:rsidRPr="00C40817" w:rsidRDefault="00977CA8" w:rsidP="00977CA8">
      <w:pPr>
        <w:pStyle w:val="Sinespaciado"/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Estudios clínicos epidemiológicos tienen su clasificación según:</w:t>
      </w:r>
    </w:p>
    <w:p w:rsidR="00FC7A10" w:rsidRPr="00C40817" w:rsidRDefault="00977CA8" w:rsidP="00977CA8">
      <w:pPr>
        <w:pStyle w:val="Sinespaciado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F</w:t>
      </w:r>
      <w:r w:rsidR="00FC7A10" w:rsidRPr="00C40817">
        <w:rPr>
          <w:rFonts w:ascii="Century Gothic" w:hAnsi="Century Gothic" w:cs="Arial"/>
          <w:sz w:val="24"/>
          <w:szCs w:val="24"/>
        </w:rPr>
        <w:t>inalidad</w:t>
      </w:r>
    </w:p>
    <w:p w:rsidR="00977CA8" w:rsidRPr="00C40817" w:rsidRDefault="00977CA8" w:rsidP="00C40817">
      <w:pPr>
        <w:pStyle w:val="Sinespaciado"/>
        <w:rPr>
          <w:rFonts w:ascii="Century Gothic" w:hAnsi="Century Gothic" w:cs="Arial"/>
          <w:b/>
          <w:sz w:val="24"/>
          <w:szCs w:val="24"/>
        </w:rPr>
      </w:pPr>
      <w:r w:rsidRPr="00C40817">
        <w:rPr>
          <w:rFonts w:ascii="Century Gothic" w:hAnsi="Century Gothic" w:cs="Arial"/>
          <w:b/>
          <w:sz w:val="24"/>
          <w:szCs w:val="24"/>
        </w:rPr>
        <w:t>Descriptivos</w:t>
      </w:r>
    </w:p>
    <w:p w:rsidR="00977CA8" w:rsidRPr="00C40817" w:rsidRDefault="00977CA8" w:rsidP="00C40817">
      <w:pPr>
        <w:pStyle w:val="Sinespaciado"/>
        <w:numPr>
          <w:ilvl w:val="0"/>
          <w:numId w:val="22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Estudios ecológicos</w:t>
      </w:r>
    </w:p>
    <w:p w:rsidR="00977CA8" w:rsidRPr="00C40817" w:rsidRDefault="00977CA8" w:rsidP="00C40817">
      <w:pPr>
        <w:pStyle w:val="Sinespaciado"/>
        <w:numPr>
          <w:ilvl w:val="0"/>
          <w:numId w:val="22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Estudios longitudinales</w:t>
      </w:r>
    </w:p>
    <w:p w:rsidR="00977CA8" w:rsidRPr="00C40817" w:rsidRDefault="00977CA8" w:rsidP="00C40817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 xml:space="preserve">Estudios transversales </w:t>
      </w:r>
    </w:p>
    <w:p w:rsidR="00977CA8" w:rsidRPr="00C40817" w:rsidRDefault="00977CA8" w:rsidP="00C40817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Estudios correlaciónales</w:t>
      </w:r>
    </w:p>
    <w:p w:rsidR="00977CA8" w:rsidRPr="00C40817" w:rsidRDefault="00977CA8" w:rsidP="00C40817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Reporte de casos</w:t>
      </w:r>
    </w:p>
    <w:p w:rsidR="00977CA8" w:rsidRPr="00C40817" w:rsidRDefault="00977CA8" w:rsidP="00C40817">
      <w:pPr>
        <w:pStyle w:val="Sinespaciado"/>
        <w:rPr>
          <w:rFonts w:ascii="Century Gothic" w:hAnsi="Century Gothic" w:cs="Arial"/>
          <w:b/>
          <w:sz w:val="24"/>
          <w:szCs w:val="24"/>
        </w:rPr>
      </w:pPr>
      <w:r w:rsidRPr="00C40817">
        <w:rPr>
          <w:rFonts w:ascii="Century Gothic" w:hAnsi="Century Gothic" w:cs="Arial"/>
          <w:b/>
          <w:sz w:val="24"/>
          <w:szCs w:val="24"/>
        </w:rPr>
        <w:t>Analíticos</w:t>
      </w:r>
    </w:p>
    <w:p w:rsidR="003958C4" w:rsidRPr="00C40817" w:rsidRDefault="003958C4" w:rsidP="00C40817">
      <w:pPr>
        <w:pStyle w:val="Sinespaciado"/>
        <w:numPr>
          <w:ilvl w:val="0"/>
          <w:numId w:val="21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Observacionales</w:t>
      </w:r>
    </w:p>
    <w:p w:rsidR="003958C4" w:rsidRPr="00C40817" w:rsidRDefault="003958C4" w:rsidP="00C40817">
      <w:pPr>
        <w:pStyle w:val="Sinespaciado"/>
        <w:numPr>
          <w:ilvl w:val="0"/>
          <w:numId w:val="21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 xml:space="preserve">Experimentales </w:t>
      </w:r>
    </w:p>
    <w:p w:rsidR="00977CA8" w:rsidRPr="00C40817" w:rsidRDefault="00977CA8" w:rsidP="00977CA8">
      <w:pPr>
        <w:pStyle w:val="Sinespaciado"/>
        <w:ind w:left="1080"/>
        <w:rPr>
          <w:rFonts w:ascii="Century Gothic" w:hAnsi="Century Gothic" w:cs="Arial"/>
          <w:sz w:val="24"/>
          <w:szCs w:val="24"/>
        </w:rPr>
      </w:pPr>
    </w:p>
    <w:p w:rsidR="003958C4" w:rsidRPr="00C40817" w:rsidRDefault="00977CA8" w:rsidP="00C40817">
      <w:pPr>
        <w:pStyle w:val="Sinespaciado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Control de la asignación</w:t>
      </w:r>
    </w:p>
    <w:p w:rsidR="003958C4" w:rsidRPr="00C40817" w:rsidRDefault="00977CA8" w:rsidP="00C40817">
      <w:pPr>
        <w:pStyle w:val="Sinespaciado"/>
        <w:rPr>
          <w:rFonts w:ascii="Century Gothic" w:hAnsi="Century Gothic" w:cs="Arial"/>
          <w:b/>
          <w:sz w:val="24"/>
          <w:szCs w:val="24"/>
        </w:rPr>
      </w:pPr>
      <w:r w:rsidRPr="00C40817">
        <w:rPr>
          <w:rFonts w:ascii="Century Gothic" w:hAnsi="Century Gothic" w:cs="Arial"/>
          <w:b/>
          <w:sz w:val="24"/>
          <w:szCs w:val="24"/>
        </w:rPr>
        <w:t xml:space="preserve">Observacionales </w:t>
      </w:r>
    </w:p>
    <w:p w:rsidR="003958C4" w:rsidRPr="00C40817" w:rsidRDefault="00977CA8" w:rsidP="00C40817">
      <w:pPr>
        <w:pStyle w:val="Sinespaciado"/>
        <w:numPr>
          <w:ilvl w:val="0"/>
          <w:numId w:val="20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Cohortes</w:t>
      </w:r>
    </w:p>
    <w:p w:rsidR="003958C4" w:rsidRPr="00C40817" w:rsidRDefault="00977CA8" w:rsidP="00C40817">
      <w:pPr>
        <w:pStyle w:val="Sinespaciado"/>
        <w:numPr>
          <w:ilvl w:val="0"/>
          <w:numId w:val="20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Casos y controles</w:t>
      </w:r>
    </w:p>
    <w:p w:rsidR="00977CA8" w:rsidRPr="00C40817" w:rsidRDefault="00977CA8" w:rsidP="00C40817">
      <w:pPr>
        <w:pStyle w:val="Sinespaciado"/>
        <w:numPr>
          <w:ilvl w:val="0"/>
          <w:numId w:val="20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 xml:space="preserve">Estudios híbridos </w:t>
      </w:r>
    </w:p>
    <w:p w:rsidR="003958C4" w:rsidRPr="00C40817" w:rsidRDefault="00977CA8" w:rsidP="00C40817">
      <w:pPr>
        <w:pStyle w:val="Sinespaciado"/>
        <w:rPr>
          <w:rFonts w:ascii="Century Gothic" w:hAnsi="Century Gothic" w:cs="Arial"/>
          <w:b/>
          <w:sz w:val="24"/>
          <w:szCs w:val="24"/>
        </w:rPr>
      </w:pPr>
      <w:r w:rsidRPr="00C40817">
        <w:rPr>
          <w:rFonts w:ascii="Century Gothic" w:hAnsi="Century Gothic" w:cs="Arial"/>
          <w:b/>
          <w:sz w:val="24"/>
          <w:szCs w:val="24"/>
        </w:rPr>
        <w:t xml:space="preserve">Experimentales </w:t>
      </w:r>
    </w:p>
    <w:p w:rsidR="003958C4" w:rsidRPr="00C40817" w:rsidRDefault="00977CA8" w:rsidP="00C40817">
      <w:pPr>
        <w:pStyle w:val="Sinespaciado"/>
        <w:numPr>
          <w:ilvl w:val="0"/>
          <w:numId w:val="23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Ensayo clínico</w:t>
      </w:r>
    </w:p>
    <w:p w:rsidR="003958C4" w:rsidRPr="00C40817" w:rsidRDefault="00977CA8" w:rsidP="00C40817">
      <w:pPr>
        <w:pStyle w:val="Sinespaciado"/>
        <w:numPr>
          <w:ilvl w:val="0"/>
          <w:numId w:val="23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Ensayo comunitario</w:t>
      </w:r>
    </w:p>
    <w:p w:rsidR="00977CA8" w:rsidRPr="00C40817" w:rsidRDefault="00977CA8" w:rsidP="00C40817">
      <w:pPr>
        <w:pStyle w:val="Sinespaciado"/>
        <w:numPr>
          <w:ilvl w:val="0"/>
          <w:numId w:val="23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Ensayo de campo</w:t>
      </w:r>
    </w:p>
    <w:p w:rsidR="00977CA8" w:rsidRPr="00C40817" w:rsidRDefault="00977CA8" w:rsidP="00977CA8">
      <w:pPr>
        <w:pStyle w:val="Sinespaciado"/>
        <w:ind w:left="1080"/>
        <w:rPr>
          <w:rFonts w:ascii="Century Gothic" w:hAnsi="Century Gothic" w:cs="Arial"/>
          <w:sz w:val="24"/>
          <w:szCs w:val="24"/>
        </w:rPr>
      </w:pPr>
    </w:p>
    <w:p w:rsidR="00FC7A10" w:rsidRPr="00C40817" w:rsidRDefault="00977CA8" w:rsidP="00C40817">
      <w:pPr>
        <w:pStyle w:val="Sinespaciado"/>
        <w:rPr>
          <w:rFonts w:ascii="Century Gothic" w:hAnsi="Century Gothic" w:cs="Arial"/>
          <w:b/>
          <w:sz w:val="24"/>
          <w:szCs w:val="24"/>
        </w:rPr>
      </w:pPr>
      <w:r w:rsidRPr="00C40817">
        <w:rPr>
          <w:rFonts w:ascii="Century Gothic" w:hAnsi="Century Gothic" w:cs="Arial"/>
          <w:b/>
          <w:sz w:val="24"/>
          <w:szCs w:val="24"/>
        </w:rPr>
        <w:t>S</w:t>
      </w:r>
      <w:r w:rsidR="00FC7A10" w:rsidRPr="00C40817">
        <w:rPr>
          <w:rFonts w:ascii="Century Gothic" w:hAnsi="Century Gothic" w:cs="Arial"/>
          <w:b/>
          <w:sz w:val="24"/>
          <w:szCs w:val="24"/>
        </w:rPr>
        <w:t>eguimiento</w:t>
      </w:r>
    </w:p>
    <w:p w:rsidR="00977CA8" w:rsidRPr="00C40817" w:rsidRDefault="00977CA8" w:rsidP="00C40817">
      <w:pPr>
        <w:pStyle w:val="Sinespaciado"/>
        <w:numPr>
          <w:ilvl w:val="0"/>
          <w:numId w:val="2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 xml:space="preserve">Transversales </w:t>
      </w:r>
    </w:p>
    <w:p w:rsidR="00977CA8" w:rsidRPr="00C40817" w:rsidRDefault="00977CA8" w:rsidP="00C40817">
      <w:pPr>
        <w:pStyle w:val="Sinespaciado"/>
        <w:numPr>
          <w:ilvl w:val="0"/>
          <w:numId w:val="2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Con seguimiento</w:t>
      </w:r>
    </w:p>
    <w:p w:rsidR="00977CA8" w:rsidRPr="00C40817" w:rsidRDefault="00977CA8" w:rsidP="00977CA8">
      <w:pPr>
        <w:pStyle w:val="Sinespaciado"/>
        <w:ind w:left="1440"/>
        <w:rPr>
          <w:rFonts w:ascii="Century Gothic" w:hAnsi="Century Gothic" w:cs="Arial"/>
          <w:sz w:val="24"/>
          <w:szCs w:val="24"/>
        </w:rPr>
      </w:pPr>
    </w:p>
    <w:p w:rsidR="00FC7A10" w:rsidRPr="00C40817" w:rsidRDefault="00977CA8" w:rsidP="00C40817">
      <w:pPr>
        <w:pStyle w:val="Sinespaciado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I</w:t>
      </w:r>
      <w:r w:rsidR="00FC7A10" w:rsidRPr="00C40817">
        <w:rPr>
          <w:rFonts w:ascii="Century Gothic" w:hAnsi="Century Gothic" w:cs="Arial"/>
          <w:sz w:val="24"/>
          <w:szCs w:val="24"/>
        </w:rPr>
        <w:t>nicio estudio en relación cronología</w:t>
      </w:r>
    </w:p>
    <w:p w:rsidR="00977CA8" w:rsidRPr="00C40817" w:rsidRDefault="00977CA8" w:rsidP="00C40817">
      <w:pPr>
        <w:pStyle w:val="Sinespaciado"/>
        <w:numPr>
          <w:ilvl w:val="0"/>
          <w:numId w:val="25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Retrospectivos</w:t>
      </w:r>
    </w:p>
    <w:p w:rsidR="00977CA8" w:rsidRPr="00C40817" w:rsidRDefault="00977CA8" w:rsidP="00C40817">
      <w:pPr>
        <w:pStyle w:val="Sinespaciado"/>
        <w:numPr>
          <w:ilvl w:val="0"/>
          <w:numId w:val="25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Prospectivos</w:t>
      </w:r>
    </w:p>
    <w:p w:rsidR="00977CA8" w:rsidRPr="00C40817" w:rsidRDefault="00977CA8" w:rsidP="00C40817">
      <w:pPr>
        <w:pStyle w:val="Sinespaciado"/>
        <w:numPr>
          <w:ilvl w:val="0"/>
          <w:numId w:val="25"/>
        </w:numPr>
        <w:rPr>
          <w:rFonts w:ascii="Century Gothic" w:hAnsi="Century Gothic" w:cs="Arial"/>
          <w:sz w:val="24"/>
          <w:szCs w:val="24"/>
        </w:rPr>
      </w:pPr>
      <w:proofErr w:type="spellStart"/>
      <w:r w:rsidRPr="00C40817">
        <w:rPr>
          <w:rFonts w:ascii="Century Gothic" w:hAnsi="Century Gothic" w:cs="Arial"/>
          <w:sz w:val="24"/>
          <w:szCs w:val="24"/>
        </w:rPr>
        <w:t>Ambispectivos</w:t>
      </w:r>
      <w:proofErr w:type="spellEnd"/>
      <w:r w:rsidRPr="00C40817">
        <w:rPr>
          <w:rFonts w:ascii="Century Gothic" w:hAnsi="Century Gothic" w:cs="Arial"/>
          <w:sz w:val="24"/>
          <w:szCs w:val="24"/>
        </w:rPr>
        <w:t xml:space="preserve"> </w:t>
      </w:r>
    </w:p>
    <w:p w:rsidR="00977CA8" w:rsidRPr="00C40817" w:rsidRDefault="00977CA8" w:rsidP="00977CA8">
      <w:pPr>
        <w:pStyle w:val="Sinespaciado"/>
        <w:ind w:left="1440"/>
        <w:rPr>
          <w:rFonts w:ascii="Century Gothic" w:hAnsi="Century Gothic" w:cs="Arial"/>
          <w:sz w:val="24"/>
          <w:szCs w:val="24"/>
        </w:rPr>
      </w:pPr>
    </w:p>
    <w:p w:rsidR="00FC7A10" w:rsidRPr="00C40817" w:rsidRDefault="00977CA8" w:rsidP="00977CA8">
      <w:pPr>
        <w:pStyle w:val="Sinespaciado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D</w:t>
      </w:r>
      <w:r w:rsidR="00FC7A10" w:rsidRPr="00C40817">
        <w:rPr>
          <w:rFonts w:ascii="Century Gothic" w:hAnsi="Century Gothic" w:cs="Arial"/>
          <w:sz w:val="24"/>
          <w:szCs w:val="24"/>
        </w:rPr>
        <w:t>irección temporal</w:t>
      </w:r>
    </w:p>
    <w:p w:rsidR="00977CA8" w:rsidRPr="00C40817" w:rsidRDefault="00977CA8" w:rsidP="00C40817">
      <w:pPr>
        <w:pStyle w:val="Sinespaciado"/>
        <w:numPr>
          <w:ilvl w:val="0"/>
          <w:numId w:val="26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Hacia delante (desde la exposición hacia el efecto)</w:t>
      </w:r>
    </w:p>
    <w:p w:rsidR="00977CA8" w:rsidRPr="00C40817" w:rsidRDefault="00977CA8" w:rsidP="00C40817">
      <w:pPr>
        <w:pStyle w:val="Sinespaciado"/>
        <w:numPr>
          <w:ilvl w:val="0"/>
          <w:numId w:val="26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Hacia atrás (desde el efecto hacia la exposición)</w:t>
      </w:r>
    </w:p>
    <w:p w:rsidR="00977CA8" w:rsidRPr="00C40817" w:rsidRDefault="00977CA8" w:rsidP="00C40817">
      <w:pPr>
        <w:pStyle w:val="Sinespaciado"/>
        <w:numPr>
          <w:ilvl w:val="0"/>
          <w:numId w:val="26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Sin sentido</w:t>
      </w:r>
    </w:p>
    <w:p w:rsidR="00977CA8" w:rsidRPr="00C40817" w:rsidRDefault="00977CA8" w:rsidP="00977CA8">
      <w:pPr>
        <w:pStyle w:val="Sinespaciado"/>
        <w:ind w:left="1440"/>
        <w:rPr>
          <w:rFonts w:ascii="Century Gothic" w:hAnsi="Century Gothic" w:cs="Arial"/>
          <w:sz w:val="24"/>
          <w:szCs w:val="24"/>
        </w:rPr>
      </w:pPr>
    </w:p>
    <w:p w:rsidR="00FC7A10" w:rsidRPr="00C40817" w:rsidRDefault="00977CA8" w:rsidP="00977CA8">
      <w:pPr>
        <w:pStyle w:val="Sinespaciado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U</w:t>
      </w:r>
      <w:r w:rsidR="00FC7A10" w:rsidRPr="00C40817">
        <w:rPr>
          <w:rFonts w:ascii="Century Gothic" w:hAnsi="Century Gothic" w:cs="Arial"/>
          <w:sz w:val="24"/>
          <w:szCs w:val="24"/>
        </w:rPr>
        <w:t>nidad de análisis</w:t>
      </w:r>
    </w:p>
    <w:p w:rsidR="00977CA8" w:rsidRPr="00C40817" w:rsidRDefault="00977CA8" w:rsidP="00C04F93">
      <w:pPr>
        <w:pStyle w:val="Sinespaciado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Estudios basados en los individuos</w:t>
      </w:r>
    </w:p>
    <w:p w:rsidR="00977CA8" w:rsidRPr="00C40817" w:rsidRDefault="00977CA8" w:rsidP="00C04F93">
      <w:pPr>
        <w:pStyle w:val="Sinespaciado"/>
        <w:numPr>
          <w:ilvl w:val="0"/>
          <w:numId w:val="27"/>
        </w:numPr>
        <w:rPr>
          <w:rFonts w:ascii="Century Gothic" w:hAnsi="Century Gothic" w:cs="Arial"/>
          <w:sz w:val="24"/>
          <w:szCs w:val="24"/>
        </w:rPr>
      </w:pPr>
      <w:r w:rsidRPr="00C40817">
        <w:rPr>
          <w:rFonts w:ascii="Century Gothic" w:hAnsi="Century Gothic" w:cs="Arial"/>
          <w:sz w:val="24"/>
          <w:szCs w:val="24"/>
        </w:rPr>
        <w:t>Estudios ecológicos</w:t>
      </w:r>
    </w:p>
    <w:p w:rsidR="00977CA8" w:rsidRPr="00C40817" w:rsidRDefault="00977CA8" w:rsidP="00977CA8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3958C4" w:rsidRPr="00C40817" w:rsidRDefault="003958C4" w:rsidP="00B61F5F">
      <w:pPr>
        <w:jc w:val="both"/>
        <w:rPr>
          <w:rFonts w:ascii="Century Gothic" w:hAnsi="Century Gothic" w:cs="Arial"/>
          <w:sz w:val="24"/>
          <w:szCs w:val="24"/>
        </w:rPr>
      </w:pPr>
    </w:p>
    <w:p w:rsidR="00C04F93" w:rsidRPr="00C04F93" w:rsidRDefault="00417AE1" w:rsidP="00C04F93">
      <w:pPr>
        <w:jc w:val="center"/>
        <w:rPr>
          <w:rFonts w:ascii="Century Gothic" w:hAnsi="Century Gothic" w:cs="Arial"/>
          <w:b/>
          <w:sz w:val="32"/>
          <w:szCs w:val="24"/>
        </w:rPr>
      </w:pPr>
      <w:r w:rsidRPr="00C04F93">
        <w:rPr>
          <w:rFonts w:ascii="Century Gothic" w:hAnsi="Century Gothic" w:cs="Arial"/>
          <w:b/>
          <w:sz w:val="32"/>
          <w:szCs w:val="24"/>
        </w:rPr>
        <w:lastRenderedPageBreak/>
        <w:t>T</w:t>
      </w:r>
      <w:r w:rsidR="00B61F5F" w:rsidRPr="00C04F93">
        <w:rPr>
          <w:rFonts w:ascii="Century Gothic" w:hAnsi="Century Gothic" w:cs="Arial"/>
          <w:b/>
          <w:sz w:val="32"/>
          <w:szCs w:val="24"/>
        </w:rPr>
        <w:t>ipos de sesgos y sus respectivas diferencias</w:t>
      </w:r>
    </w:p>
    <w:tbl>
      <w:tblPr>
        <w:tblStyle w:val="Cuadrculamedia1-nfasis1"/>
        <w:tblW w:w="0" w:type="auto"/>
        <w:tblLook w:val="04A0"/>
      </w:tblPr>
      <w:tblGrid>
        <w:gridCol w:w="2992"/>
        <w:gridCol w:w="2993"/>
        <w:gridCol w:w="2993"/>
      </w:tblGrid>
      <w:tr w:rsidR="00417AE1" w:rsidRPr="00C40817" w:rsidTr="00C04F93">
        <w:trPr>
          <w:cnfStyle w:val="100000000000"/>
        </w:trPr>
        <w:tc>
          <w:tcPr>
            <w:cnfStyle w:val="001000000000"/>
            <w:tcW w:w="2992" w:type="dxa"/>
          </w:tcPr>
          <w:p w:rsidR="00417AE1" w:rsidRPr="00C04F93" w:rsidRDefault="00417AE1" w:rsidP="00C04F93">
            <w:pPr>
              <w:rPr>
                <w:rFonts w:ascii="Century Gothic" w:hAnsi="Century Gothic" w:cs="Arial"/>
                <w:b w:val="0"/>
                <w:color w:val="000000" w:themeColor="text1"/>
                <w:sz w:val="28"/>
                <w:szCs w:val="24"/>
              </w:rPr>
            </w:pPr>
            <w:r w:rsidRPr="00C04F93">
              <w:rPr>
                <w:rFonts w:ascii="Century Gothic" w:hAnsi="Century Gothic" w:cs="Arial"/>
                <w:color w:val="000000" w:themeColor="text1"/>
                <w:sz w:val="28"/>
                <w:szCs w:val="24"/>
              </w:rPr>
              <w:t>De selección</w:t>
            </w:r>
          </w:p>
        </w:tc>
        <w:tc>
          <w:tcPr>
            <w:tcW w:w="2993" w:type="dxa"/>
          </w:tcPr>
          <w:p w:rsidR="00417AE1" w:rsidRPr="00C04F93" w:rsidRDefault="00417AE1" w:rsidP="00C04F93">
            <w:pPr>
              <w:cnfStyle w:val="100000000000"/>
              <w:rPr>
                <w:rFonts w:ascii="Century Gothic" w:hAnsi="Century Gothic" w:cs="Arial"/>
                <w:b w:val="0"/>
                <w:color w:val="000000" w:themeColor="text1"/>
                <w:sz w:val="28"/>
                <w:szCs w:val="24"/>
              </w:rPr>
            </w:pPr>
            <w:r w:rsidRPr="00C04F93">
              <w:rPr>
                <w:rFonts w:ascii="Century Gothic" w:hAnsi="Century Gothic" w:cs="Arial"/>
                <w:color w:val="000000" w:themeColor="text1"/>
                <w:sz w:val="28"/>
                <w:szCs w:val="24"/>
              </w:rPr>
              <w:t>De información</w:t>
            </w:r>
          </w:p>
        </w:tc>
        <w:tc>
          <w:tcPr>
            <w:tcW w:w="2993" w:type="dxa"/>
          </w:tcPr>
          <w:p w:rsidR="00417AE1" w:rsidRPr="00C04F93" w:rsidRDefault="00417AE1" w:rsidP="00C04F93">
            <w:pPr>
              <w:cnfStyle w:val="100000000000"/>
              <w:rPr>
                <w:rFonts w:ascii="Century Gothic" w:hAnsi="Century Gothic" w:cs="Arial"/>
                <w:b w:val="0"/>
                <w:color w:val="000000" w:themeColor="text1"/>
                <w:sz w:val="28"/>
                <w:szCs w:val="24"/>
              </w:rPr>
            </w:pPr>
            <w:r w:rsidRPr="00C04F93">
              <w:rPr>
                <w:rFonts w:ascii="Century Gothic" w:hAnsi="Century Gothic" w:cs="Arial"/>
                <w:color w:val="000000" w:themeColor="text1"/>
                <w:sz w:val="28"/>
                <w:szCs w:val="24"/>
              </w:rPr>
              <w:t>De confusión</w:t>
            </w:r>
          </w:p>
        </w:tc>
      </w:tr>
      <w:tr w:rsidR="00417AE1" w:rsidRPr="00C40817" w:rsidTr="00C04F93">
        <w:trPr>
          <w:cnfStyle w:val="000000100000"/>
        </w:trPr>
        <w:tc>
          <w:tcPr>
            <w:cnfStyle w:val="001000000000"/>
            <w:tcW w:w="2992" w:type="dxa"/>
          </w:tcPr>
          <w:p w:rsidR="00551FFC" w:rsidRPr="00C04F93" w:rsidRDefault="00551FFC" w:rsidP="00551FFC">
            <w:pPr>
              <w:jc w:val="both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  <w:r w:rsidRPr="00C04F93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 xml:space="preserve">Son errores sistemáticos que se introducen durante la selección o el seguimiento de la población en estudio y que propician una conclusión equivocada sobre la hipótesis en evaluación. </w:t>
            </w:r>
          </w:p>
          <w:p w:rsidR="00551FFC" w:rsidRPr="00C04F93" w:rsidRDefault="00551FFC" w:rsidP="00551FFC">
            <w:pPr>
              <w:jc w:val="both"/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</w:pPr>
          </w:p>
          <w:p w:rsidR="00417AE1" w:rsidRPr="00C40817" w:rsidRDefault="00551FFC" w:rsidP="00551FFC">
            <w:pPr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04F93">
              <w:rPr>
                <w:rFonts w:ascii="Century Gothic" w:hAnsi="Century Gothic" w:cs="Arial"/>
                <w:b w:val="0"/>
                <w:color w:val="000000" w:themeColor="text1"/>
                <w:sz w:val="24"/>
                <w:szCs w:val="24"/>
              </w:rPr>
              <w:t>Pueden ser originados por el mismo investigador o ser el resultado de relaciones complejas en la población en estudio que pueden no ser evidentes para el investigador y pasar desapercibidas.</w:t>
            </w:r>
          </w:p>
        </w:tc>
        <w:tc>
          <w:tcPr>
            <w:tcW w:w="2993" w:type="dxa"/>
          </w:tcPr>
          <w:p w:rsidR="00551FFC" w:rsidRPr="00C40817" w:rsidRDefault="00551FFC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El sesgo de información se refiere a los errores que se introducen durante la medición de la exposición, de los eventos u otras </w:t>
            </w:r>
            <w:proofErr w:type="spellStart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covariables</w:t>
            </w:r>
            <w:proofErr w:type="spellEnd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en la  población en estudio, que se presentan de manera diferencial entre los grupos que se comparan, y que ocasionan una conclusión errónea respecto de la hipótesis que se investiga.</w:t>
            </w:r>
          </w:p>
          <w:p w:rsidR="00417AE1" w:rsidRPr="00C40817" w:rsidRDefault="00417AE1" w:rsidP="00551FFC">
            <w:pPr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Puede resultar en </w:t>
            </w:r>
            <w:proofErr w:type="gramStart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una</w:t>
            </w:r>
            <w:proofErr w:type="gramEnd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sobre o subestimación de la asociación real. </w:t>
            </w:r>
          </w:p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Existe sesgo de confusión cuando observamos una asociación no causal entre la exposición y el evento en estudio o cuando no observamos una asociación real entre</w:t>
            </w:r>
          </w:p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proofErr w:type="gramStart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exposición y el evento en estudio por la acción de una tercera variable que no es controlada. </w:t>
            </w:r>
          </w:p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Esta(s) variable(s) se denomina(n) factor(es) de confusión o </w:t>
            </w:r>
            <w:proofErr w:type="spellStart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confusor</w:t>
            </w:r>
            <w:proofErr w:type="spellEnd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(es).</w:t>
            </w:r>
          </w:p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:rsidR="000B0F4D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Los resultados de un estudio estarán confundidos cuando los resultados obtenidos en la población en estudio apoyan una conclusión falsa o espuria sobre la hipótesis en evaluación, debido a la influencia</w:t>
            </w:r>
          </w:p>
          <w:p w:rsidR="00417AE1" w:rsidRPr="00C40817" w:rsidRDefault="000B0F4D" w:rsidP="000B0F4D">
            <w:pPr>
              <w:jc w:val="both"/>
              <w:cnfStyle w:val="00000010000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proofErr w:type="gramStart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C4081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otras variables, que no fueron controladas adecuadamente ya sea durante la fase de diseño o de análisis.</w:t>
            </w:r>
          </w:p>
        </w:tc>
      </w:tr>
    </w:tbl>
    <w:p w:rsidR="00B61F5F" w:rsidRDefault="00B61F5F" w:rsidP="00C04F93">
      <w:pPr>
        <w:rPr>
          <w:rFonts w:ascii="Century Gothic" w:hAnsi="Century Gothic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C04F93">
        <w:rPr>
          <w:rFonts w:ascii="Century Gothic" w:hAnsi="Century Gothic" w:cs="Arial"/>
          <w:b/>
          <w:color w:val="000000" w:themeColor="text1"/>
          <w:sz w:val="32"/>
          <w:szCs w:val="24"/>
        </w:rPr>
        <w:lastRenderedPageBreak/>
        <w:t>Bibliografía</w:t>
      </w:r>
    </w:p>
    <w:p w:rsidR="00C04F93" w:rsidRPr="00C04F93" w:rsidRDefault="00C04F93" w:rsidP="00C04F93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:rsidR="00D95FFB" w:rsidRPr="00C04F93" w:rsidRDefault="00B61F5F" w:rsidP="006F0CE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M</w:t>
      </w:r>
      <w:r w:rsidR="00EF115C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edicina basada en la evidencia. </w:t>
      </w:r>
      <w:r w:rsidR="00D95FFB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Dra. Zulma Ortiz, Marcelo García </w:t>
      </w:r>
      <w:r w:rsidR="006F0CED" w:rsidRPr="00C04F93">
        <w:rPr>
          <w:rFonts w:ascii="Century Gothic" w:hAnsi="Century Gothic" w:cs="Arial"/>
          <w:color w:val="000000" w:themeColor="text1"/>
          <w:sz w:val="24"/>
          <w:szCs w:val="24"/>
        </w:rPr>
        <w:t>Diéguez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, Dr. Enrique </w:t>
      </w:r>
      <w:proofErr w:type="spellStart"/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Laffaire</w:t>
      </w:r>
      <w:proofErr w:type="spellEnd"/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. Centro de Investigaciones Epidemiológicas de la Academia Nacional de </w:t>
      </w:r>
      <w:r w:rsidR="00D95FFB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Medicina de 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Buenos Aires</w:t>
      </w:r>
      <w:r w:rsidR="00D95FFB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Centro de Investigaciones Epidemiológicas</w:t>
      </w:r>
      <w:r w:rsidR="00D95FFB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y 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Universidad Nacional del Sur</w:t>
      </w:r>
      <w:r w:rsidR="00D95FFB" w:rsidRPr="00C04F93">
        <w:rPr>
          <w:rFonts w:ascii="Century Gothic" w:hAnsi="Century Gothic" w:cs="Arial"/>
          <w:color w:val="000000" w:themeColor="text1"/>
          <w:sz w:val="24"/>
          <w:szCs w:val="24"/>
        </w:rPr>
        <w:t>.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D95FFB" w:rsidRPr="00C04F93">
        <w:rPr>
          <w:rFonts w:ascii="Century Gothic" w:hAnsi="Century Gothic" w:cs="Arial"/>
          <w:color w:val="000000" w:themeColor="text1"/>
          <w:sz w:val="24"/>
          <w:szCs w:val="24"/>
        </w:rPr>
        <w:t>Noviembre de 1998.</w:t>
      </w:r>
    </w:p>
    <w:p w:rsidR="00977CA8" w:rsidRPr="00C04F93" w:rsidRDefault="00977CA8" w:rsidP="006F0CE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Tipos de diseños de investigación. Curso de introducción a la metodología  de la investigación (II) Laura Martínez García. Centro Cochrane Iberoamericano. 8 de Febrero de 2011.</w:t>
      </w:r>
    </w:p>
    <w:p w:rsidR="00977CA8" w:rsidRPr="00C04F93" w:rsidRDefault="00977CA8" w:rsidP="006F0CE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Arigmón Pallás JM, Jiménez Villa J. Métodos de </w:t>
      </w:r>
      <w:r w:rsidR="006F0CED" w:rsidRPr="00C04F93">
        <w:rPr>
          <w:rFonts w:ascii="Century Gothic" w:hAnsi="Century Gothic" w:cs="Arial"/>
          <w:color w:val="000000" w:themeColor="text1"/>
          <w:sz w:val="24"/>
          <w:szCs w:val="24"/>
        </w:rPr>
        <w:t>investigación clínica y epide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miológica.</w:t>
      </w:r>
      <w:r w:rsidR="006F0CED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 3ªed. Madrid: Elsevier; 2004. </w:t>
      </w:r>
    </w:p>
    <w:p w:rsidR="006F0CED" w:rsidRPr="00C04F93" w:rsidRDefault="006F0CED" w:rsidP="00A22D7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Mauricio Hernández Ávila, </w:t>
      </w:r>
      <w:proofErr w:type="spellStart"/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Ph.D.</w:t>
      </w:r>
      <w:proofErr w:type="spellEnd"/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Francisco Garrido, M.C., M. en C., Eduardo Salazar-Martínez, Dr. en C. S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alud pública de 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>México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/ vol.42, no.5, septiembre-octubre de 2000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Centro de Investigación en Salud Poblacional,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Instituto Nacional de Salud Pública (INSP),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Morelos,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México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Centro de Investigación en Sistemas de Salud,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INSP,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Morelos,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806E3" w:rsidRPr="00C04F93">
        <w:rPr>
          <w:rFonts w:ascii="Century Gothic" w:hAnsi="Century Gothic" w:cs="Arial"/>
          <w:color w:val="000000" w:themeColor="text1"/>
          <w:sz w:val="24"/>
          <w:szCs w:val="24"/>
        </w:rPr>
        <w:t>México</w:t>
      </w:r>
      <w:r w:rsidRPr="00C04F93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</w:p>
    <w:sectPr w:rsidR="006F0CED" w:rsidRPr="00C04F93" w:rsidSect="00D20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362"/>
    <w:multiLevelType w:val="hybridMultilevel"/>
    <w:tmpl w:val="549AEEA2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7835C7"/>
    <w:multiLevelType w:val="hybridMultilevel"/>
    <w:tmpl w:val="9A30C146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064CA"/>
    <w:multiLevelType w:val="hybridMultilevel"/>
    <w:tmpl w:val="D908ADB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44301"/>
    <w:multiLevelType w:val="hybridMultilevel"/>
    <w:tmpl w:val="24228A20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8C101D"/>
    <w:multiLevelType w:val="hybridMultilevel"/>
    <w:tmpl w:val="A0A8C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61A6"/>
    <w:multiLevelType w:val="hybridMultilevel"/>
    <w:tmpl w:val="B7A00AA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7202C"/>
    <w:multiLevelType w:val="hybridMultilevel"/>
    <w:tmpl w:val="05028DF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925379"/>
    <w:multiLevelType w:val="hybridMultilevel"/>
    <w:tmpl w:val="E3980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688"/>
    <w:multiLevelType w:val="hybridMultilevel"/>
    <w:tmpl w:val="3312BA1A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C0482"/>
    <w:multiLevelType w:val="hybridMultilevel"/>
    <w:tmpl w:val="3E40790A"/>
    <w:lvl w:ilvl="0" w:tplc="08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DCF5C55"/>
    <w:multiLevelType w:val="hybridMultilevel"/>
    <w:tmpl w:val="D4A0BC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0B42"/>
    <w:multiLevelType w:val="hybridMultilevel"/>
    <w:tmpl w:val="174C385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575176"/>
    <w:multiLevelType w:val="hybridMultilevel"/>
    <w:tmpl w:val="E4AE884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E66C4"/>
    <w:multiLevelType w:val="hybridMultilevel"/>
    <w:tmpl w:val="056AF6E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44517A2"/>
    <w:multiLevelType w:val="hybridMultilevel"/>
    <w:tmpl w:val="CE7E6DD4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730229"/>
    <w:multiLevelType w:val="hybridMultilevel"/>
    <w:tmpl w:val="87EA8E9C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457774"/>
    <w:multiLevelType w:val="hybridMultilevel"/>
    <w:tmpl w:val="1484802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47314B"/>
    <w:multiLevelType w:val="hybridMultilevel"/>
    <w:tmpl w:val="891EE78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959B4"/>
    <w:multiLevelType w:val="hybridMultilevel"/>
    <w:tmpl w:val="715C707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746435"/>
    <w:multiLevelType w:val="hybridMultilevel"/>
    <w:tmpl w:val="2A0C7908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B170BF"/>
    <w:multiLevelType w:val="hybridMultilevel"/>
    <w:tmpl w:val="3680488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C4971"/>
    <w:multiLevelType w:val="hybridMultilevel"/>
    <w:tmpl w:val="586C7E1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CC6AB7"/>
    <w:multiLevelType w:val="hybridMultilevel"/>
    <w:tmpl w:val="61906D7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80579D"/>
    <w:multiLevelType w:val="hybridMultilevel"/>
    <w:tmpl w:val="DDF0D314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D00B7A"/>
    <w:multiLevelType w:val="hybridMultilevel"/>
    <w:tmpl w:val="0276E47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8C4618"/>
    <w:multiLevelType w:val="hybridMultilevel"/>
    <w:tmpl w:val="9EA4A14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5B045B"/>
    <w:multiLevelType w:val="hybridMultilevel"/>
    <w:tmpl w:val="86829B6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7"/>
  </w:num>
  <w:num w:numId="5">
    <w:abstractNumId w:val="18"/>
  </w:num>
  <w:num w:numId="6">
    <w:abstractNumId w:val="21"/>
  </w:num>
  <w:num w:numId="7">
    <w:abstractNumId w:val="25"/>
  </w:num>
  <w:num w:numId="8">
    <w:abstractNumId w:val="20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19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  <w:num w:numId="18">
    <w:abstractNumId w:val="23"/>
  </w:num>
  <w:num w:numId="19">
    <w:abstractNumId w:val="9"/>
  </w:num>
  <w:num w:numId="20">
    <w:abstractNumId w:val="22"/>
  </w:num>
  <w:num w:numId="21">
    <w:abstractNumId w:val="8"/>
  </w:num>
  <w:num w:numId="22">
    <w:abstractNumId w:val="26"/>
  </w:num>
  <w:num w:numId="23">
    <w:abstractNumId w:val="11"/>
  </w:num>
  <w:num w:numId="24">
    <w:abstractNumId w:val="24"/>
  </w:num>
  <w:num w:numId="25">
    <w:abstractNumId w:val="1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E98"/>
    <w:rsid w:val="00010CB6"/>
    <w:rsid w:val="000B0F4D"/>
    <w:rsid w:val="00133755"/>
    <w:rsid w:val="002F07CB"/>
    <w:rsid w:val="003958C4"/>
    <w:rsid w:val="003A0031"/>
    <w:rsid w:val="00417AE1"/>
    <w:rsid w:val="00551FFC"/>
    <w:rsid w:val="00692E98"/>
    <w:rsid w:val="006C2754"/>
    <w:rsid w:val="006F0CED"/>
    <w:rsid w:val="008806E3"/>
    <w:rsid w:val="00905986"/>
    <w:rsid w:val="00977CA8"/>
    <w:rsid w:val="00A05F69"/>
    <w:rsid w:val="00A22D76"/>
    <w:rsid w:val="00B61F5F"/>
    <w:rsid w:val="00B837B1"/>
    <w:rsid w:val="00C04F93"/>
    <w:rsid w:val="00C40817"/>
    <w:rsid w:val="00C54D12"/>
    <w:rsid w:val="00CA7FAB"/>
    <w:rsid w:val="00D204EC"/>
    <w:rsid w:val="00D76E3C"/>
    <w:rsid w:val="00D95FFB"/>
    <w:rsid w:val="00EC696C"/>
    <w:rsid w:val="00EF115C"/>
    <w:rsid w:val="00F57FEA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37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C04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C04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C04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C04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TäLïä CäMpiLLö G</dc:creator>
  <cp:lastModifiedBy>TäLïä CäMpiLLö G</cp:lastModifiedBy>
  <cp:revision>2</cp:revision>
  <dcterms:created xsi:type="dcterms:W3CDTF">2014-02-14T06:17:00Z</dcterms:created>
  <dcterms:modified xsi:type="dcterms:W3CDTF">2014-02-14T06:17:00Z</dcterms:modified>
</cp:coreProperties>
</file>