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B2" w:rsidRDefault="00B52BB2" w:rsidP="00B52BB2">
      <w:pPr>
        <w:pStyle w:val="NormalWeb"/>
        <w:shd w:val="clear" w:color="auto" w:fill="FFFFFF"/>
        <w:rPr>
          <w:rFonts w:ascii="Arial" w:hAnsi="Arial" w:cs="Arial"/>
          <w:b/>
          <w:color w:val="000000"/>
        </w:rPr>
      </w:pPr>
      <w:bookmarkStart w:id="0" w:name="_GoBack"/>
      <w:bookmarkEnd w:id="0"/>
      <w:r w:rsidRPr="00B52BB2">
        <w:rPr>
          <w:rFonts w:ascii="Arial" w:hAnsi="Arial" w:cs="Arial"/>
          <w:b/>
          <w:color w:val="000000"/>
        </w:rPr>
        <w:t xml:space="preserve">MEDICINA BASADA EN EVIDENCIAS </w:t>
      </w:r>
    </w:p>
    <w:p w:rsidR="00B52BB2" w:rsidRPr="00B52BB2" w:rsidRDefault="00B52BB2" w:rsidP="00B52BB2">
      <w:pPr>
        <w:pStyle w:val="NormalWeb"/>
        <w:shd w:val="clear" w:color="auto" w:fill="FFFFFF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HIATORIA </w:t>
      </w:r>
    </w:p>
    <w:p w:rsidR="00B52BB2" w:rsidRPr="00B52BB2" w:rsidRDefault="00B52BB2" w:rsidP="00B52BB2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B52BB2">
        <w:rPr>
          <w:rFonts w:ascii="Arial" w:hAnsi="Arial" w:cs="Arial"/>
          <w:color w:val="000000"/>
        </w:rPr>
        <w:t xml:space="preserve">En 1753 </w:t>
      </w:r>
      <w:proofErr w:type="spellStart"/>
      <w:r w:rsidRPr="00B52BB2">
        <w:rPr>
          <w:rFonts w:ascii="Arial" w:hAnsi="Arial" w:cs="Arial"/>
          <w:color w:val="000000"/>
        </w:rPr>
        <w:t>Lind</w:t>
      </w:r>
      <w:proofErr w:type="spellEnd"/>
      <w:r w:rsidRPr="00B52BB2">
        <w:rPr>
          <w:rFonts w:ascii="Arial" w:hAnsi="Arial" w:cs="Arial"/>
          <w:color w:val="000000"/>
        </w:rPr>
        <w:t xml:space="preserve"> demostró el beneficio de comer naranjas y limones para curar el escorbuto, en un estudio clínico de 12 pacientes. La investigación clínica se desarrollaba lentamente, hasta dos siglos después en que apareció, en 1952, en el</w:t>
      </w:r>
      <w:r w:rsidRPr="00B52BB2">
        <w:rPr>
          <w:rStyle w:val="apple-converted-space"/>
          <w:rFonts w:ascii="Arial" w:hAnsi="Arial" w:cs="Arial"/>
          <w:color w:val="000000"/>
        </w:rPr>
        <w:t> </w:t>
      </w:r>
      <w:r w:rsidRPr="00B52BB2">
        <w:rPr>
          <w:rFonts w:ascii="Arial" w:hAnsi="Arial" w:cs="Arial"/>
          <w:i/>
          <w:iCs/>
          <w:color w:val="000000"/>
        </w:rPr>
        <w:t xml:space="preserve">British Medical </w:t>
      </w:r>
      <w:proofErr w:type="spellStart"/>
      <w:r w:rsidRPr="00B52BB2">
        <w:rPr>
          <w:rFonts w:ascii="Arial" w:hAnsi="Arial" w:cs="Arial"/>
          <w:i/>
          <w:iCs/>
          <w:color w:val="000000"/>
        </w:rPr>
        <w:t>Journal</w:t>
      </w:r>
      <w:proofErr w:type="spellEnd"/>
      <w:r w:rsidRPr="00B52BB2">
        <w:rPr>
          <w:rFonts w:ascii="Arial" w:hAnsi="Arial" w:cs="Arial"/>
          <w:i/>
          <w:iCs/>
          <w:color w:val="000000"/>
        </w:rPr>
        <w:t>,</w:t>
      </w:r>
      <w:r w:rsidRPr="00B52BB2">
        <w:rPr>
          <w:rStyle w:val="apple-converted-space"/>
          <w:rFonts w:ascii="Arial" w:hAnsi="Arial" w:cs="Arial"/>
          <w:color w:val="000000"/>
        </w:rPr>
        <w:t> </w:t>
      </w:r>
      <w:r w:rsidRPr="00B52BB2">
        <w:rPr>
          <w:rFonts w:ascii="Arial" w:hAnsi="Arial" w:cs="Arial"/>
          <w:color w:val="000000"/>
        </w:rPr>
        <w:t xml:space="preserve">el primer ensayo clínico </w:t>
      </w:r>
      <w:proofErr w:type="spellStart"/>
      <w:r w:rsidRPr="00B52BB2">
        <w:rPr>
          <w:rFonts w:ascii="Arial" w:hAnsi="Arial" w:cs="Arial"/>
          <w:color w:val="000000"/>
        </w:rPr>
        <w:t>randomizado</w:t>
      </w:r>
      <w:proofErr w:type="spellEnd"/>
      <w:r w:rsidRPr="00B52BB2">
        <w:rPr>
          <w:rFonts w:ascii="Arial" w:hAnsi="Arial" w:cs="Arial"/>
          <w:color w:val="000000"/>
        </w:rPr>
        <w:t>. Desde entonces la investigación clínica mantiene un crecimiento permanente, como describió el Dr. V. Valdivieso en esta revista.</w:t>
      </w:r>
    </w:p>
    <w:p w:rsidR="00B52BB2" w:rsidRPr="00B52BB2" w:rsidRDefault="00B52BB2" w:rsidP="00B52BB2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B52BB2">
        <w:rPr>
          <w:rFonts w:ascii="Arial" w:hAnsi="Arial" w:cs="Arial"/>
          <w:color w:val="000000"/>
        </w:rPr>
        <w:t xml:space="preserve">A fines de los 70 varios epidemiólogos clínicos, entre los que destacan D. </w:t>
      </w:r>
      <w:proofErr w:type="spellStart"/>
      <w:r w:rsidRPr="00B52BB2">
        <w:rPr>
          <w:rFonts w:ascii="Arial" w:hAnsi="Arial" w:cs="Arial"/>
          <w:color w:val="000000"/>
        </w:rPr>
        <w:t>Sackett</w:t>
      </w:r>
      <w:proofErr w:type="spellEnd"/>
      <w:r w:rsidRPr="00B52BB2">
        <w:rPr>
          <w:rFonts w:ascii="Arial" w:hAnsi="Arial" w:cs="Arial"/>
          <w:color w:val="000000"/>
        </w:rPr>
        <w:t xml:space="preserve">, B. </w:t>
      </w:r>
      <w:proofErr w:type="spellStart"/>
      <w:r w:rsidRPr="00B52BB2">
        <w:rPr>
          <w:rFonts w:ascii="Arial" w:hAnsi="Arial" w:cs="Arial"/>
          <w:color w:val="000000"/>
        </w:rPr>
        <w:t>Haynes</w:t>
      </w:r>
      <w:proofErr w:type="spellEnd"/>
      <w:r w:rsidRPr="00B52BB2">
        <w:rPr>
          <w:rFonts w:ascii="Arial" w:hAnsi="Arial" w:cs="Arial"/>
          <w:color w:val="000000"/>
        </w:rPr>
        <w:t xml:space="preserve"> y P. </w:t>
      </w:r>
      <w:proofErr w:type="spellStart"/>
      <w:r w:rsidRPr="00B52BB2">
        <w:rPr>
          <w:rFonts w:ascii="Arial" w:hAnsi="Arial" w:cs="Arial"/>
          <w:color w:val="000000"/>
        </w:rPr>
        <w:t>Tugwell</w:t>
      </w:r>
      <w:proofErr w:type="spellEnd"/>
      <w:r w:rsidRPr="00B52BB2">
        <w:rPr>
          <w:rFonts w:ascii="Arial" w:hAnsi="Arial" w:cs="Arial"/>
          <w:color w:val="000000"/>
        </w:rPr>
        <w:t>, se esforzaban por integrar la investigación clínica a la toma de decisiones para los pacientes. En la década del 80 aparecieron en el</w:t>
      </w:r>
      <w:r w:rsidRPr="00B52BB2">
        <w:rPr>
          <w:rStyle w:val="apple-converted-space"/>
          <w:rFonts w:ascii="Arial" w:hAnsi="Arial" w:cs="Arial"/>
          <w:color w:val="000000"/>
        </w:rPr>
        <w:t> </w:t>
      </w:r>
      <w:r w:rsidRPr="00B52BB2">
        <w:rPr>
          <w:rFonts w:ascii="Arial" w:hAnsi="Arial" w:cs="Arial"/>
          <w:i/>
          <w:iCs/>
          <w:color w:val="000000"/>
        </w:rPr>
        <w:t xml:space="preserve">Canadian Medical </w:t>
      </w:r>
      <w:proofErr w:type="spellStart"/>
      <w:r w:rsidRPr="00B52BB2">
        <w:rPr>
          <w:rFonts w:ascii="Arial" w:hAnsi="Arial" w:cs="Arial"/>
          <w:i/>
          <w:iCs/>
          <w:color w:val="000000"/>
        </w:rPr>
        <w:t>Association</w:t>
      </w:r>
      <w:proofErr w:type="spellEnd"/>
      <w:r w:rsidRPr="00B52BB2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B52BB2">
        <w:rPr>
          <w:rFonts w:ascii="Arial" w:hAnsi="Arial" w:cs="Arial"/>
          <w:i/>
          <w:iCs/>
          <w:color w:val="000000"/>
        </w:rPr>
        <w:t>Journal</w:t>
      </w:r>
      <w:proofErr w:type="spellEnd"/>
      <w:r w:rsidRPr="00B52BB2">
        <w:rPr>
          <w:rStyle w:val="apple-converted-space"/>
          <w:rFonts w:ascii="Arial" w:hAnsi="Arial" w:cs="Arial"/>
          <w:color w:val="000000"/>
        </w:rPr>
        <w:t> </w:t>
      </w:r>
      <w:r w:rsidRPr="00B52BB2">
        <w:rPr>
          <w:rFonts w:ascii="Arial" w:hAnsi="Arial" w:cs="Arial"/>
          <w:color w:val="000000"/>
        </w:rPr>
        <w:t xml:space="preserve">las primeras publicaciones orientadas a revisar críticamente estudios publicados en revistas médicas. En 1990, G. </w:t>
      </w:r>
      <w:proofErr w:type="spellStart"/>
      <w:r w:rsidRPr="00B52BB2">
        <w:rPr>
          <w:rFonts w:ascii="Arial" w:hAnsi="Arial" w:cs="Arial"/>
          <w:color w:val="000000"/>
        </w:rPr>
        <w:t>Guyatt</w:t>
      </w:r>
      <w:proofErr w:type="spellEnd"/>
      <w:r w:rsidRPr="00B52BB2">
        <w:rPr>
          <w:rFonts w:ascii="Arial" w:hAnsi="Arial" w:cs="Arial"/>
          <w:color w:val="000000"/>
        </w:rPr>
        <w:t xml:space="preserve"> acuñó el término «Medicina Basada en Evidencia» (MBE) en un documento informal destinado a los residentes de Medicina Interna de la Universidad de Mc Master, en Canadá. En 1992, el JAMA inició la serie de artículos «</w:t>
      </w:r>
      <w:proofErr w:type="spellStart"/>
      <w:r w:rsidRPr="00B52BB2">
        <w:rPr>
          <w:rFonts w:ascii="Arial" w:hAnsi="Arial" w:cs="Arial"/>
          <w:color w:val="000000"/>
        </w:rPr>
        <w:t>Users</w:t>
      </w:r>
      <w:proofErr w:type="spellEnd"/>
      <w:r w:rsidRPr="00B52BB2">
        <w:rPr>
          <w:rFonts w:ascii="Arial" w:hAnsi="Arial" w:cs="Arial"/>
          <w:color w:val="000000"/>
        </w:rPr>
        <w:t xml:space="preserve">' Guides to </w:t>
      </w:r>
      <w:proofErr w:type="spellStart"/>
      <w:r w:rsidRPr="00B52BB2">
        <w:rPr>
          <w:rFonts w:ascii="Arial" w:hAnsi="Arial" w:cs="Arial"/>
          <w:color w:val="000000"/>
        </w:rPr>
        <w:t>the</w:t>
      </w:r>
      <w:proofErr w:type="spellEnd"/>
      <w:r w:rsidRPr="00B52BB2">
        <w:rPr>
          <w:rFonts w:ascii="Arial" w:hAnsi="Arial" w:cs="Arial"/>
          <w:color w:val="000000"/>
        </w:rPr>
        <w:t xml:space="preserve"> Medical </w:t>
      </w:r>
      <w:proofErr w:type="spellStart"/>
      <w:r w:rsidRPr="00B52BB2">
        <w:rPr>
          <w:rFonts w:ascii="Arial" w:hAnsi="Arial" w:cs="Arial"/>
          <w:color w:val="000000"/>
        </w:rPr>
        <w:t>Literature</w:t>
      </w:r>
      <w:proofErr w:type="spellEnd"/>
      <w:r w:rsidRPr="00B52BB2">
        <w:rPr>
          <w:rFonts w:ascii="Arial" w:hAnsi="Arial" w:cs="Arial"/>
          <w:color w:val="000000"/>
        </w:rPr>
        <w:t xml:space="preserve">», iniciativa liderada por el Dr. </w:t>
      </w:r>
      <w:proofErr w:type="spellStart"/>
      <w:r w:rsidRPr="00B52BB2">
        <w:rPr>
          <w:rFonts w:ascii="Arial" w:hAnsi="Arial" w:cs="Arial"/>
          <w:color w:val="000000"/>
        </w:rPr>
        <w:t>Guyatt</w:t>
      </w:r>
      <w:proofErr w:type="spellEnd"/>
      <w:r w:rsidRPr="00B52BB2">
        <w:rPr>
          <w:rFonts w:ascii="Arial" w:hAnsi="Arial" w:cs="Arial"/>
          <w:color w:val="000000"/>
        </w:rPr>
        <w:t xml:space="preserve"> y epidemiólogos clínicos de universidades norteamericanas y europeas. Posteriormente, el término MBE fue ampliado para incluir otras especialidades médicas y no médicas que inciden en el cuidado de pacientes, denominándose «</w:t>
      </w:r>
      <w:proofErr w:type="spellStart"/>
      <w:r w:rsidRPr="00B52BB2">
        <w:rPr>
          <w:rFonts w:ascii="Arial" w:hAnsi="Arial" w:cs="Arial"/>
          <w:color w:val="000000"/>
        </w:rPr>
        <w:t>Evidence</w:t>
      </w:r>
      <w:proofErr w:type="spellEnd"/>
      <w:r w:rsidRPr="00B52BB2">
        <w:rPr>
          <w:rFonts w:ascii="Arial" w:hAnsi="Arial" w:cs="Arial"/>
          <w:color w:val="000000"/>
        </w:rPr>
        <w:t xml:space="preserve"> </w:t>
      </w:r>
      <w:proofErr w:type="spellStart"/>
      <w:r w:rsidRPr="00B52BB2">
        <w:rPr>
          <w:rFonts w:ascii="Arial" w:hAnsi="Arial" w:cs="Arial"/>
          <w:color w:val="000000"/>
        </w:rPr>
        <w:t>Based</w:t>
      </w:r>
      <w:proofErr w:type="spellEnd"/>
      <w:r w:rsidRPr="00B52BB2">
        <w:rPr>
          <w:rFonts w:ascii="Arial" w:hAnsi="Arial" w:cs="Arial"/>
          <w:color w:val="000000"/>
        </w:rPr>
        <w:t xml:space="preserve"> </w:t>
      </w:r>
      <w:proofErr w:type="spellStart"/>
      <w:r w:rsidRPr="00B52BB2">
        <w:rPr>
          <w:rFonts w:ascii="Arial" w:hAnsi="Arial" w:cs="Arial"/>
          <w:color w:val="000000"/>
        </w:rPr>
        <w:t>Health</w:t>
      </w:r>
      <w:proofErr w:type="spellEnd"/>
      <w:r w:rsidRPr="00B52BB2">
        <w:rPr>
          <w:rFonts w:ascii="Arial" w:hAnsi="Arial" w:cs="Arial"/>
          <w:color w:val="000000"/>
        </w:rPr>
        <w:t xml:space="preserve"> </w:t>
      </w:r>
      <w:proofErr w:type="spellStart"/>
      <w:r w:rsidRPr="00B52BB2">
        <w:rPr>
          <w:rFonts w:ascii="Arial" w:hAnsi="Arial" w:cs="Arial"/>
          <w:color w:val="000000"/>
        </w:rPr>
        <w:t>Care</w:t>
      </w:r>
      <w:proofErr w:type="spellEnd"/>
      <w:r w:rsidRPr="00B52BB2">
        <w:rPr>
          <w:rFonts w:ascii="Arial" w:hAnsi="Arial" w:cs="Arial"/>
          <w:color w:val="000000"/>
        </w:rPr>
        <w:t>» (EBHC), que algunos traducen como «Cuidados de Salud Basados en Evidencia» o «Atención de Salud Basada en Evidencia»; estas traducciones no han logrado aceptación general, por lo que seguiremos usando el término MBE, para referirnos a la EBHC.</w:t>
      </w:r>
    </w:p>
    <w:p w:rsidR="00B52BB2" w:rsidRPr="00B52BB2" w:rsidRDefault="00B52BB2" w:rsidP="00B52BB2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B52BB2">
        <w:rPr>
          <w:rFonts w:ascii="Arial" w:hAnsi="Arial" w:cs="Arial"/>
          <w:color w:val="000000"/>
        </w:rPr>
        <w:t>La EBHC ha tenido impacto en sistemas de salud de países como Inglaterra y Canadá, que incorporaron los principios de la EBHC en sus políticas de salud y financian centros de estudios como el</w:t>
      </w:r>
      <w:r w:rsidRPr="00B52BB2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B52BB2">
        <w:rPr>
          <w:rFonts w:ascii="Arial" w:hAnsi="Arial" w:cs="Arial"/>
          <w:i/>
          <w:iCs/>
          <w:color w:val="000000"/>
        </w:rPr>
        <w:t>National</w:t>
      </w:r>
      <w:proofErr w:type="spellEnd"/>
      <w:r w:rsidRPr="00B52BB2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B52BB2">
        <w:rPr>
          <w:rFonts w:ascii="Arial" w:hAnsi="Arial" w:cs="Arial"/>
          <w:i/>
          <w:iCs/>
          <w:color w:val="000000"/>
        </w:rPr>
        <w:t>Institute</w:t>
      </w:r>
      <w:proofErr w:type="spellEnd"/>
      <w:r w:rsidRPr="00B52BB2">
        <w:rPr>
          <w:rFonts w:ascii="Arial" w:hAnsi="Arial" w:cs="Arial"/>
          <w:i/>
          <w:iCs/>
          <w:color w:val="000000"/>
        </w:rPr>
        <w:t xml:space="preserve"> of </w:t>
      </w:r>
      <w:proofErr w:type="spellStart"/>
      <w:r w:rsidRPr="00B52BB2">
        <w:rPr>
          <w:rFonts w:ascii="Arial" w:hAnsi="Arial" w:cs="Arial"/>
          <w:i/>
          <w:iCs/>
          <w:color w:val="000000"/>
        </w:rPr>
        <w:t>Clinical</w:t>
      </w:r>
      <w:proofErr w:type="spellEnd"/>
      <w:r w:rsidRPr="00B52BB2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B52BB2">
        <w:rPr>
          <w:rFonts w:ascii="Arial" w:hAnsi="Arial" w:cs="Arial"/>
          <w:i/>
          <w:iCs/>
          <w:color w:val="000000"/>
        </w:rPr>
        <w:t>Evidence</w:t>
      </w:r>
      <w:proofErr w:type="spellEnd"/>
      <w:r w:rsidRPr="00B52BB2">
        <w:rPr>
          <w:rStyle w:val="apple-converted-space"/>
          <w:rFonts w:ascii="Arial" w:hAnsi="Arial" w:cs="Arial"/>
          <w:color w:val="000000"/>
        </w:rPr>
        <w:t> </w:t>
      </w:r>
      <w:r w:rsidRPr="00B52BB2">
        <w:rPr>
          <w:rFonts w:ascii="Arial" w:hAnsi="Arial" w:cs="Arial"/>
          <w:color w:val="000000"/>
        </w:rPr>
        <w:t>(NICE) para desarrollar investigación en esta área</w:t>
      </w:r>
    </w:p>
    <w:p w:rsidR="00953932" w:rsidRPr="00B52BB2" w:rsidRDefault="00B52BB2">
      <w:pPr>
        <w:rPr>
          <w:rFonts w:ascii="Arial" w:hAnsi="Arial" w:cs="Arial"/>
          <w:b/>
          <w:sz w:val="24"/>
          <w:szCs w:val="24"/>
        </w:rPr>
      </w:pPr>
      <w:r w:rsidRPr="00B52BB2">
        <w:rPr>
          <w:rFonts w:ascii="Arial" w:hAnsi="Arial" w:cs="Arial"/>
          <w:b/>
          <w:sz w:val="24"/>
          <w:szCs w:val="24"/>
        </w:rPr>
        <w:t xml:space="preserve">TIPOS DE SESGOS </w:t>
      </w:r>
    </w:p>
    <w:p w:rsidR="00B52BB2" w:rsidRDefault="00B52BB2">
      <w:r>
        <w:rPr>
          <w:noProof/>
          <w:lang w:eastAsia="es-MX"/>
        </w:rPr>
        <w:drawing>
          <wp:inline distT="0" distB="0" distL="0" distR="0" wp14:anchorId="6F7B2F0E" wp14:editId="6924D28E">
            <wp:extent cx="5610225" cy="19240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924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BB2" w:rsidRDefault="00B52BB2"/>
    <w:p w:rsidR="00B52BB2" w:rsidRPr="00B52BB2" w:rsidRDefault="00B52BB2">
      <w:pPr>
        <w:rPr>
          <w:rFonts w:ascii="Arial" w:hAnsi="Arial" w:cs="Arial"/>
          <w:b/>
          <w:sz w:val="24"/>
          <w:szCs w:val="24"/>
        </w:rPr>
      </w:pPr>
      <w:r w:rsidRPr="00B52BB2">
        <w:rPr>
          <w:rFonts w:ascii="Arial" w:hAnsi="Arial" w:cs="Arial"/>
          <w:b/>
          <w:sz w:val="24"/>
          <w:szCs w:val="24"/>
        </w:rPr>
        <w:t xml:space="preserve">TIPOS DE ESTUDIOS </w:t>
      </w:r>
    </w:p>
    <w:p w:rsidR="00B52BB2" w:rsidRDefault="00B52BB2">
      <w:r>
        <w:rPr>
          <w:noProof/>
          <w:lang w:eastAsia="es-MX"/>
        </w:rPr>
        <w:drawing>
          <wp:inline distT="0" distB="0" distL="0" distR="0" wp14:anchorId="1A6CE5A3" wp14:editId="60EDDB6C">
            <wp:extent cx="5610225" cy="23431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43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BB2" w:rsidRDefault="00B52BB2"/>
    <w:p w:rsidR="00B52BB2" w:rsidRDefault="00B52BB2">
      <w:r>
        <w:rPr>
          <w:noProof/>
          <w:lang w:eastAsia="es-MX"/>
        </w:rPr>
        <w:drawing>
          <wp:inline distT="0" distB="0" distL="0" distR="0" wp14:anchorId="75697970" wp14:editId="2D3354D7">
            <wp:extent cx="5610225" cy="21050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10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BB2" w:rsidRDefault="00B52BB2">
      <w:r>
        <w:rPr>
          <w:noProof/>
          <w:lang w:eastAsia="es-MX"/>
        </w:rPr>
        <w:lastRenderedPageBreak/>
        <w:drawing>
          <wp:inline distT="0" distB="0" distL="0" distR="0" wp14:anchorId="01068576" wp14:editId="0AB8C949">
            <wp:extent cx="5612130" cy="5401945"/>
            <wp:effectExtent l="0" t="0" r="7620" b="825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40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264" w:rsidRPr="000D4264" w:rsidRDefault="000D4264" w:rsidP="000D4264">
      <w:pPr>
        <w:spacing w:after="0"/>
        <w:rPr>
          <w:rFonts w:ascii="Arial" w:hAnsi="Arial" w:cs="Arial"/>
          <w:b/>
          <w:sz w:val="24"/>
          <w:szCs w:val="24"/>
        </w:rPr>
      </w:pPr>
      <w:r w:rsidRPr="000D4264">
        <w:rPr>
          <w:rFonts w:ascii="Arial" w:hAnsi="Arial" w:cs="Arial"/>
          <w:b/>
          <w:sz w:val="24"/>
          <w:szCs w:val="24"/>
        </w:rPr>
        <w:t xml:space="preserve">BIBLIOGRAFIA </w:t>
      </w:r>
    </w:p>
    <w:p w:rsidR="000D4264" w:rsidRPr="000D4264" w:rsidRDefault="000D4264" w:rsidP="000D4264">
      <w:pPr>
        <w:spacing w:after="0"/>
        <w:rPr>
          <w:rFonts w:ascii="Arial" w:hAnsi="Arial" w:cs="Arial"/>
          <w:color w:val="000000" w:themeColor="text1"/>
        </w:rPr>
      </w:pPr>
      <w:r w:rsidRPr="000D4264">
        <w:rPr>
          <w:rFonts w:ascii="Arial" w:hAnsi="Arial" w:cs="Arial"/>
          <w:color w:val="000000" w:themeColor="text1"/>
          <w:lang w:val="en-US"/>
        </w:rPr>
        <w:t xml:space="preserve">Straus S, Richardson SW, </w:t>
      </w:r>
      <w:proofErr w:type="spellStart"/>
      <w:r w:rsidRPr="000D4264">
        <w:rPr>
          <w:rFonts w:ascii="Arial" w:hAnsi="Arial" w:cs="Arial"/>
          <w:color w:val="000000" w:themeColor="text1"/>
          <w:lang w:val="en-US"/>
        </w:rPr>
        <w:t>Glasziou</w:t>
      </w:r>
      <w:proofErr w:type="spellEnd"/>
      <w:r w:rsidRPr="000D4264">
        <w:rPr>
          <w:rFonts w:ascii="Arial" w:hAnsi="Arial" w:cs="Arial"/>
          <w:color w:val="000000" w:themeColor="text1"/>
          <w:lang w:val="en-US"/>
        </w:rPr>
        <w:t xml:space="preserve"> P, Haynes RB. </w:t>
      </w:r>
      <w:r w:rsidRPr="000D4264">
        <w:rPr>
          <w:rFonts w:ascii="Arial" w:hAnsi="Arial" w:cs="Arial"/>
          <w:color w:val="000000" w:themeColor="text1"/>
        </w:rPr>
        <w:t xml:space="preserve">Medicina </w:t>
      </w:r>
    </w:p>
    <w:p w:rsidR="000D4264" w:rsidRPr="000D4264" w:rsidRDefault="000D4264" w:rsidP="000D4264">
      <w:pPr>
        <w:spacing w:after="0"/>
        <w:rPr>
          <w:rFonts w:ascii="Arial" w:hAnsi="Arial" w:cs="Arial"/>
          <w:color w:val="000000" w:themeColor="text1"/>
        </w:rPr>
      </w:pPr>
      <w:r w:rsidRPr="000D4264">
        <w:rPr>
          <w:rFonts w:ascii="Arial" w:hAnsi="Arial" w:cs="Arial"/>
          <w:color w:val="000000" w:themeColor="text1"/>
        </w:rPr>
        <w:t xml:space="preserve">Basada en la Evidencia. Cómo practicar y enseñar la MBE. </w:t>
      </w:r>
    </w:p>
    <w:p w:rsidR="000D4264" w:rsidRPr="000D4264" w:rsidRDefault="000D4264" w:rsidP="000D4264">
      <w:pPr>
        <w:spacing w:after="0"/>
        <w:rPr>
          <w:rFonts w:ascii="Arial" w:hAnsi="Arial" w:cs="Arial"/>
          <w:color w:val="000000" w:themeColor="text1"/>
        </w:rPr>
      </w:pPr>
      <w:r w:rsidRPr="000D4264">
        <w:rPr>
          <w:rFonts w:ascii="Arial" w:hAnsi="Arial" w:cs="Arial"/>
          <w:color w:val="000000" w:themeColor="text1"/>
          <w:lang w:val="en-US"/>
        </w:rPr>
        <w:t xml:space="preserve">Elsevier Churchill Livingstone. Madrid, </w:t>
      </w:r>
      <w:proofErr w:type="spellStart"/>
      <w:r w:rsidRPr="000D4264">
        <w:rPr>
          <w:rFonts w:ascii="Arial" w:hAnsi="Arial" w:cs="Arial"/>
          <w:color w:val="000000" w:themeColor="text1"/>
          <w:lang w:val="en-US"/>
        </w:rPr>
        <w:t>España</w:t>
      </w:r>
      <w:proofErr w:type="spellEnd"/>
      <w:r w:rsidRPr="000D4264">
        <w:rPr>
          <w:rFonts w:ascii="Arial" w:hAnsi="Arial" w:cs="Arial"/>
          <w:color w:val="000000" w:themeColor="text1"/>
          <w:lang w:val="en-US"/>
        </w:rPr>
        <w:t xml:space="preserve">. </w:t>
      </w:r>
      <w:r w:rsidRPr="000D4264">
        <w:rPr>
          <w:rFonts w:ascii="Arial" w:hAnsi="Arial" w:cs="Arial"/>
          <w:color w:val="000000" w:themeColor="text1"/>
        </w:rPr>
        <w:t>2006.</w:t>
      </w:r>
    </w:p>
    <w:sectPr w:rsidR="000D4264" w:rsidRPr="000D42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B2"/>
    <w:rsid w:val="000D4264"/>
    <w:rsid w:val="0087327B"/>
    <w:rsid w:val="00953932"/>
    <w:rsid w:val="00B5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52BB2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B52BB2"/>
  </w:style>
  <w:style w:type="paragraph" w:styleId="Textodeglobo">
    <w:name w:val="Balloon Text"/>
    <w:basedOn w:val="Normal"/>
    <w:link w:val="TextodegloboCar"/>
    <w:uiPriority w:val="99"/>
    <w:semiHidden/>
    <w:unhideWhenUsed/>
    <w:rsid w:val="00B5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52BB2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B52BB2"/>
  </w:style>
  <w:style w:type="paragraph" w:styleId="Textodeglobo">
    <w:name w:val="Balloon Text"/>
    <w:basedOn w:val="Normal"/>
    <w:link w:val="TextodegloboCar"/>
    <w:uiPriority w:val="99"/>
    <w:semiHidden/>
    <w:unhideWhenUsed/>
    <w:rsid w:val="00B5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2</cp:revision>
  <dcterms:created xsi:type="dcterms:W3CDTF">2014-03-20T02:05:00Z</dcterms:created>
  <dcterms:modified xsi:type="dcterms:W3CDTF">2014-03-20T02:05:00Z</dcterms:modified>
</cp:coreProperties>
</file>