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EA" w:rsidRDefault="00444B24">
      <w:pPr>
        <w:rPr>
          <w:b/>
          <w:noProof/>
          <w:lang w:eastAsia="es-MX"/>
        </w:rPr>
      </w:pPr>
      <w:r>
        <w:rPr>
          <w:b/>
          <w:noProof/>
          <w:lang w:eastAsia="es-MX"/>
        </w:rPr>
        <w:t xml:space="preserve">Historia de  medicina basada en evidencia. </w:t>
      </w:r>
    </w:p>
    <w:p w:rsidR="00444B24" w:rsidRPr="00FD02A3" w:rsidRDefault="00444B24" w:rsidP="00A90640">
      <w:pPr>
        <w:jc w:val="both"/>
        <w:rPr>
          <w:noProof/>
          <w:vertAlign w:val="subscript"/>
          <w:lang w:eastAsia="es-MX"/>
        </w:rPr>
      </w:pPr>
      <w:r>
        <w:rPr>
          <w:noProof/>
          <w:lang w:eastAsia="es-MX"/>
        </w:rPr>
        <w:t xml:space="preserve">Los orignes se remotan al silo XIX epoca en que la practica de las sangrias era un recurso terapuetico habital para miltiples enfermedades, Louis en paris aplcica su metodo numerico para valorar la eficacia de la sangria en 78 casos de neumonia, en 1834 Louis creo un movimiento llamado Medicine d´observation , entre los años 50 y 60 Bradford Hill desarrollo la metodologia del ensayo clinico hecho que marco un hito de la investigacion clinica. </w:t>
      </w:r>
      <w:r w:rsidR="00FD02A3">
        <w:rPr>
          <w:noProof/>
          <w:vertAlign w:val="subscript"/>
          <w:lang w:eastAsia="es-MX"/>
        </w:rPr>
        <w:t>1</w:t>
      </w:r>
    </w:p>
    <w:p w:rsidR="00444B24" w:rsidRDefault="00444B24" w:rsidP="00A90640">
      <w:pPr>
        <w:jc w:val="both"/>
        <w:rPr>
          <w:noProof/>
          <w:vertAlign w:val="subscript"/>
          <w:lang w:eastAsia="es-MX"/>
        </w:rPr>
      </w:pPr>
      <w:r>
        <w:rPr>
          <w:noProof/>
          <w:lang w:eastAsia="es-MX"/>
        </w:rPr>
        <w:t xml:space="preserve">En la decada de los ochentas el grupo de la Universidad McMaster (Ontario Canada) liderado por Sackett comienza la enseñanza y practica de la MBE, en forma simultanea los grupos </w:t>
      </w:r>
      <w:r w:rsidR="00A90640">
        <w:rPr>
          <w:noProof/>
          <w:lang w:eastAsia="es-MX"/>
        </w:rPr>
        <w:t xml:space="preserve">de Feinstein (Uuniversidad de Yale new Haven, Spitzer ( Universidad de McGill Quebec, Canada) y Rothman (Epidemiology Resources Inc Massachusetts) comenienzan aplicadno MBE en sus respectivos centros haciendo una rapida gobalizaion de este metodo.  </w:t>
      </w:r>
      <w:r w:rsidR="00FD02A3">
        <w:rPr>
          <w:noProof/>
          <w:vertAlign w:val="subscript"/>
          <w:lang w:eastAsia="es-MX"/>
        </w:rPr>
        <w:t>1</w:t>
      </w:r>
    </w:p>
    <w:p w:rsidR="00FD02A3" w:rsidRPr="00FD02A3" w:rsidRDefault="00FD02A3" w:rsidP="00A90640">
      <w:pPr>
        <w:jc w:val="both"/>
        <w:rPr>
          <w:b/>
          <w:noProof/>
          <w:lang w:eastAsia="es-MX"/>
        </w:rPr>
      </w:pPr>
      <w:r w:rsidRPr="00FD02A3">
        <w:rPr>
          <w:b/>
          <w:noProof/>
          <w:lang w:eastAsia="es-MX"/>
        </w:rPr>
        <w:t xml:space="preserve">TIPOS DE ESTUDIOS </w:t>
      </w:r>
    </w:p>
    <w:p w:rsidR="00FD02A3" w:rsidRDefault="00FD02A3" w:rsidP="00625FB7">
      <w:pPr>
        <w:pStyle w:val="Sinespaciado"/>
        <w:rPr>
          <w:noProof/>
          <w:lang w:eastAsia="es-MX"/>
        </w:rPr>
      </w:pPr>
      <w:r>
        <w:rPr>
          <w:noProof/>
          <w:lang w:eastAsia="es-MX"/>
        </w:rPr>
        <w:t xml:space="preserve">Meta analisis de ensayo controlado aleatorizado. </w:t>
      </w:r>
    </w:p>
    <w:p w:rsidR="00FD02A3" w:rsidRDefault="0058249C" w:rsidP="00625FB7">
      <w:pPr>
        <w:pStyle w:val="Sinespaciado"/>
        <w:rPr>
          <w:noProof/>
          <w:lang w:eastAsia="es-MX"/>
        </w:rPr>
      </w:pPr>
      <w:r>
        <w:rPr>
          <w:noProof/>
          <w:lang w:eastAsia="es-MX"/>
        </w:rPr>
        <w:t>Ensayo controlado aleatorizado d</w:t>
      </w:r>
      <w:r w:rsidR="00FD02A3">
        <w:rPr>
          <w:noProof/>
          <w:lang w:eastAsia="es-MX"/>
        </w:rPr>
        <w:t>e muestra grande.</w:t>
      </w:r>
    </w:p>
    <w:p w:rsidR="00FD02A3" w:rsidRDefault="0058249C" w:rsidP="00625FB7">
      <w:pPr>
        <w:pStyle w:val="Sinespaciado"/>
        <w:rPr>
          <w:noProof/>
          <w:lang w:eastAsia="es-MX"/>
        </w:rPr>
      </w:pPr>
      <w:r>
        <w:rPr>
          <w:noProof/>
          <w:lang w:eastAsia="es-MX"/>
        </w:rPr>
        <w:t>Ensayo controlado aleatorizado d</w:t>
      </w:r>
      <w:r w:rsidR="00FD02A3">
        <w:rPr>
          <w:noProof/>
          <w:lang w:eastAsia="es-MX"/>
        </w:rPr>
        <w:t xml:space="preserve">e muestra pequeña. </w:t>
      </w:r>
    </w:p>
    <w:p w:rsidR="0058249C" w:rsidRDefault="00FD02A3" w:rsidP="00625FB7">
      <w:pPr>
        <w:pStyle w:val="Sinespaciado"/>
        <w:rPr>
          <w:noProof/>
          <w:lang w:eastAsia="es-MX"/>
        </w:rPr>
      </w:pPr>
      <w:r>
        <w:rPr>
          <w:noProof/>
          <w:lang w:eastAsia="es-MX"/>
        </w:rPr>
        <w:t>Esnayo prospectivo controlado no aletorizado.</w:t>
      </w:r>
    </w:p>
    <w:p w:rsidR="0058249C" w:rsidRDefault="00625FB7" w:rsidP="00625FB7">
      <w:pPr>
        <w:pStyle w:val="Sinespaciado"/>
        <w:rPr>
          <w:noProof/>
          <w:lang w:eastAsia="es-MX"/>
        </w:rPr>
      </w:pPr>
      <w:r>
        <w:rPr>
          <w:noProof/>
          <w:lang w:eastAsia="es-MX"/>
        </w:rPr>
        <w:t xml:space="preserve"> </w:t>
      </w:r>
      <w:r w:rsidR="0058249C">
        <w:rPr>
          <w:noProof/>
          <w:lang w:eastAsia="es-MX"/>
        </w:rPr>
        <w:t xml:space="preserve">Ensayo retrospectivo controlado no aletarorizado. </w:t>
      </w:r>
    </w:p>
    <w:p w:rsidR="00FD02A3" w:rsidRDefault="0058249C" w:rsidP="00625FB7">
      <w:pPr>
        <w:pStyle w:val="Sinespaciado"/>
        <w:rPr>
          <w:noProof/>
          <w:lang w:eastAsia="es-MX"/>
        </w:rPr>
      </w:pPr>
      <w:r>
        <w:rPr>
          <w:noProof/>
          <w:lang w:eastAsia="es-MX"/>
        </w:rPr>
        <w:t xml:space="preserve">Estudio de cohorte. </w:t>
      </w:r>
      <w:r w:rsidR="00FD02A3">
        <w:rPr>
          <w:noProof/>
          <w:lang w:eastAsia="es-MX"/>
        </w:rPr>
        <w:t xml:space="preserve"> </w:t>
      </w:r>
    </w:p>
    <w:p w:rsidR="0058249C" w:rsidRDefault="0058249C" w:rsidP="00625FB7">
      <w:pPr>
        <w:pStyle w:val="Sinespaciado"/>
        <w:rPr>
          <w:noProof/>
          <w:lang w:eastAsia="es-MX"/>
        </w:rPr>
      </w:pPr>
      <w:r>
        <w:rPr>
          <w:noProof/>
          <w:lang w:eastAsia="es-MX"/>
        </w:rPr>
        <w:t xml:space="preserve">Estuio de casos y controles. </w:t>
      </w:r>
    </w:p>
    <w:p w:rsidR="0058249C" w:rsidRDefault="0058249C" w:rsidP="00625FB7">
      <w:pPr>
        <w:pStyle w:val="Sinespaciado"/>
        <w:rPr>
          <w:noProof/>
          <w:lang w:eastAsia="es-MX"/>
        </w:rPr>
      </w:pPr>
      <w:r>
        <w:rPr>
          <w:noProof/>
          <w:lang w:eastAsia="es-MX"/>
        </w:rPr>
        <w:t xml:space="preserve">Reries clinicas no contrladas. </w:t>
      </w:r>
    </w:p>
    <w:p w:rsidR="0058249C" w:rsidRPr="00625FB7" w:rsidRDefault="0058249C" w:rsidP="00A90640">
      <w:pPr>
        <w:jc w:val="both"/>
        <w:rPr>
          <w:noProof/>
          <w:vertAlign w:val="subscript"/>
          <w:lang w:eastAsia="es-MX"/>
        </w:rPr>
      </w:pPr>
      <w:r>
        <w:rPr>
          <w:noProof/>
          <w:lang w:eastAsia="es-MX"/>
        </w:rPr>
        <w:t xml:space="preserve">Estudios descriptivos. </w:t>
      </w:r>
      <w:r w:rsidR="00625FB7">
        <w:rPr>
          <w:noProof/>
          <w:vertAlign w:val="subscript"/>
          <w:lang w:eastAsia="es-MX"/>
        </w:rPr>
        <w:t>2</w:t>
      </w:r>
    </w:p>
    <w:tbl>
      <w:tblPr>
        <w:tblStyle w:val="Tablaconcuadrcula"/>
        <w:tblpPr w:leftFromText="141" w:rightFromText="141" w:vertAnchor="text" w:horzAnchor="margin" w:tblpY="178"/>
        <w:tblW w:w="9130" w:type="dxa"/>
        <w:tblLook w:val="04A0" w:firstRow="1" w:lastRow="0" w:firstColumn="1" w:lastColumn="0" w:noHBand="0" w:noVBand="1"/>
      </w:tblPr>
      <w:tblGrid>
        <w:gridCol w:w="4565"/>
        <w:gridCol w:w="4565"/>
      </w:tblGrid>
      <w:tr w:rsidR="00625FB7" w:rsidTr="00625FB7">
        <w:trPr>
          <w:trHeight w:val="1092"/>
        </w:trPr>
        <w:tc>
          <w:tcPr>
            <w:tcW w:w="4565" w:type="dxa"/>
          </w:tcPr>
          <w:p w:rsidR="00625FB7" w:rsidRPr="00625FB7" w:rsidRDefault="00625FB7" w:rsidP="00625FB7">
            <w:pPr>
              <w:jc w:val="both"/>
            </w:pPr>
            <w:r w:rsidRPr="00625FB7">
              <w:t xml:space="preserve">sesgo de selección </w:t>
            </w:r>
          </w:p>
        </w:tc>
        <w:tc>
          <w:tcPr>
            <w:tcW w:w="4565" w:type="dxa"/>
          </w:tcPr>
          <w:p w:rsidR="00625FB7" w:rsidRPr="00625FB7" w:rsidRDefault="00625FB7" w:rsidP="00625FB7">
            <w:pPr>
              <w:jc w:val="both"/>
            </w:pPr>
            <w:r w:rsidRPr="00625FB7">
              <w:t>Se produce cuando se comparar g</w:t>
            </w:r>
            <w:r>
              <w:t xml:space="preserve">rupos de pacientes que tienen </w:t>
            </w:r>
            <w:r w:rsidRPr="00625FB7">
              <w:t>diferentes factores determinantes para el resultado que no son objeto de estudio.</w:t>
            </w:r>
          </w:p>
        </w:tc>
      </w:tr>
      <w:tr w:rsidR="00625FB7" w:rsidTr="00625FB7">
        <w:trPr>
          <w:trHeight w:val="546"/>
        </w:trPr>
        <w:tc>
          <w:tcPr>
            <w:tcW w:w="4565" w:type="dxa"/>
          </w:tcPr>
          <w:p w:rsidR="00625FB7" w:rsidRPr="00625FB7" w:rsidRDefault="00625FB7" w:rsidP="00625FB7">
            <w:pPr>
              <w:jc w:val="both"/>
            </w:pPr>
            <w:r>
              <w:t>sesgo de medici</w:t>
            </w:r>
            <w:r w:rsidRPr="00625FB7">
              <w:t xml:space="preserve">ón </w:t>
            </w:r>
          </w:p>
        </w:tc>
        <w:tc>
          <w:tcPr>
            <w:tcW w:w="4565" w:type="dxa"/>
          </w:tcPr>
          <w:p w:rsidR="00625FB7" w:rsidRPr="00625FB7" w:rsidRDefault="00625FB7" w:rsidP="00625FB7">
            <w:pPr>
              <w:jc w:val="both"/>
            </w:pPr>
            <w:r w:rsidRPr="00625FB7">
              <w:t>Se produce cuando los métodos de la medic</w:t>
            </w:r>
            <w:r>
              <w:t>i</w:t>
            </w:r>
            <w:r w:rsidRPr="00625FB7">
              <w:t>ón</w:t>
            </w:r>
            <w:r>
              <w:t xml:space="preserve"> son dif</w:t>
            </w:r>
            <w:r w:rsidRPr="00625FB7">
              <w:t>eren</w:t>
            </w:r>
            <w:r>
              <w:t>tes</w:t>
            </w:r>
            <w:r w:rsidRPr="00625FB7">
              <w:t xml:space="preserve"> entre los grupos de pacientes</w:t>
            </w:r>
            <w:r>
              <w:t>.</w:t>
            </w:r>
          </w:p>
        </w:tc>
      </w:tr>
      <w:tr w:rsidR="00625FB7" w:rsidTr="00625FB7">
        <w:trPr>
          <w:trHeight w:val="1092"/>
        </w:trPr>
        <w:tc>
          <w:tcPr>
            <w:tcW w:w="4565" w:type="dxa"/>
          </w:tcPr>
          <w:p w:rsidR="00625FB7" w:rsidRPr="00625FB7" w:rsidRDefault="00625FB7" w:rsidP="00625FB7">
            <w:pPr>
              <w:jc w:val="both"/>
            </w:pPr>
            <w:r w:rsidRPr="00625FB7">
              <w:t xml:space="preserve">sesgó de confusión </w:t>
            </w:r>
          </w:p>
        </w:tc>
        <w:tc>
          <w:tcPr>
            <w:tcW w:w="4565" w:type="dxa"/>
          </w:tcPr>
          <w:p w:rsidR="00625FB7" w:rsidRPr="00625FB7" w:rsidRDefault="00625FB7" w:rsidP="00625FB7">
            <w:pPr>
              <w:jc w:val="both"/>
              <w:rPr>
                <w:vertAlign w:val="subscript"/>
              </w:rPr>
            </w:pPr>
            <w:r w:rsidRPr="00625FB7">
              <w:t>Se produce cuando dos factores están asociados y el efecto de uno se confunde o queda distorsionado por el efecto del otro</w:t>
            </w:r>
            <w:r>
              <w:t>.</w:t>
            </w:r>
            <w:r w:rsidRPr="00625FB7">
              <w:t xml:space="preserve"> </w:t>
            </w:r>
            <w:r>
              <w:rPr>
                <w:vertAlign w:val="subscript"/>
              </w:rPr>
              <w:t>3</w:t>
            </w:r>
          </w:p>
          <w:p w:rsidR="00625FB7" w:rsidRPr="00625FB7" w:rsidRDefault="00625FB7" w:rsidP="00625FB7">
            <w:pPr>
              <w:jc w:val="both"/>
            </w:pPr>
          </w:p>
        </w:tc>
      </w:tr>
    </w:tbl>
    <w:p w:rsidR="00625FB7" w:rsidRDefault="00625FB7" w:rsidP="00A90640">
      <w:pPr>
        <w:jc w:val="both"/>
        <w:rPr>
          <w:noProof/>
          <w:lang w:eastAsia="es-MX"/>
        </w:rPr>
      </w:pPr>
    </w:p>
    <w:p w:rsidR="00FD02A3" w:rsidRPr="00FD02A3" w:rsidRDefault="00FD02A3" w:rsidP="00A90640">
      <w:pPr>
        <w:jc w:val="both"/>
        <w:rPr>
          <w:b/>
          <w:noProof/>
          <w:lang w:eastAsia="es-MX"/>
        </w:rPr>
      </w:pPr>
      <w:r w:rsidRPr="00FD02A3">
        <w:rPr>
          <w:b/>
          <w:noProof/>
          <w:lang w:eastAsia="es-MX"/>
        </w:rPr>
        <w:t xml:space="preserve">BIBLIOGRAFIA. </w:t>
      </w:r>
    </w:p>
    <w:p w:rsidR="00FD02A3" w:rsidRPr="00625FB7" w:rsidRDefault="00FD02A3" w:rsidP="00625FB7">
      <w:pPr>
        <w:pStyle w:val="Sinespaciado"/>
        <w:jc w:val="both"/>
        <w:rPr>
          <w:sz w:val="18"/>
          <w:szCs w:val="18"/>
        </w:rPr>
      </w:pPr>
      <w:r w:rsidRPr="00625FB7">
        <w:rPr>
          <w:sz w:val="18"/>
          <w:szCs w:val="18"/>
        </w:rPr>
        <w:t xml:space="preserve">Medicina basada en la evidencia. Conceptos generales y razones para su aplicación en cirugía  Dr. Carlos </w:t>
      </w:r>
      <w:proofErr w:type="spellStart"/>
      <w:r w:rsidRPr="00625FB7">
        <w:rPr>
          <w:sz w:val="18"/>
          <w:szCs w:val="18"/>
        </w:rPr>
        <w:t>Manterola</w:t>
      </w:r>
      <w:proofErr w:type="spellEnd"/>
      <w:r w:rsidRPr="00625FB7">
        <w:rPr>
          <w:sz w:val="18"/>
          <w:szCs w:val="18"/>
        </w:rPr>
        <w:t xml:space="preserve"> Delgado.  </w:t>
      </w:r>
    </w:p>
    <w:p w:rsidR="00FD02A3" w:rsidRPr="00625FB7" w:rsidRDefault="00FD02A3" w:rsidP="00625FB7">
      <w:pPr>
        <w:pStyle w:val="Sinespaciado"/>
        <w:jc w:val="both"/>
        <w:rPr>
          <w:sz w:val="18"/>
          <w:szCs w:val="18"/>
          <w:vertAlign w:val="subscript"/>
        </w:rPr>
      </w:pPr>
      <w:r w:rsidRPr="00625FB7">
        <w:rPr>
          <w:sz w:val="18"/>
          <w:szCs w:val="18"/>
        </w:rPr>
        <w:t xml:space="preserve">Rev. Chilena de Cirugía. </w:t>
      </w:r>
      <w:proofErr w:type="spellStart"/>
      <w:r w:rsidRPr="00625FB7">
        <w:rPr>
          <w:sz w:val="18"/>
          <w:szCs w:val="18"/>
        </w:rPr>
        <w:t>Vol</w:t>
      </w:r>
      <w:proofErr w:type="spellEnd"/>
      <w:r w:rsidRPr="00625FB7">
        <w:rPr>
          <w:sz w:val="18"/>
          <w:szCs w:val="18"/>
        </w:rPr>
        <w:t xml:space="preserve"> 54 - Nº 5, Octubre 2002; págs. 550-554 </w:t>
      </w:r>
      <w:r w:rsidRPr="00625FB7">
        <w:rPr>
          <w:sz w:val="18"/>
          <w:szCs w:val="18"/>
          <w:vertAlign w:val="subscript"/>
        </w:rPr>
        <w:t>1</w:t>
      </w:r>
    </w:p>
    <w:p w:rsidR="00625FB7" w:rsidRPr="00625FB7" w:rsidRDefault="00625FB7" w:rsidP="00625FB7">
      <w:pPr>
        <w:pStyle w:val="Sinespaciado"/>
        <w:jc w:val="both"/>
        <w:rPr>
          <w:sz w:val="18"/>
          <w:szCs w:val="18"/>
          <w:vertAlign w:val="subscript"/>
        </w:rPr>
      </w:pPr>
    </w:p>
    <w:p w:rsidR="00FD02A3" w:rsidRPr="00625FB7" w:rsidRDefault="0058249C" w:rsidP="00625FB7">
      <w:pPr>
        <w:pStyle w:val="Sinespaciado"/>
        <w:jc w:val="both"/>
        <w:rPr>
          <w:sz w:val="18"/>
          <w:szCs w:val="18"/>
        </w:rPr>
      </w:pPr>
      <w:r w:rsidRPr="00625FB7">
        <w:rPr>
          <w:sz w:val="18"/>
          <w:szCs w:val="18"/>
        </w:rPr>
        <w:t xml:space="preserve">Niveles de evidencia y grados de recomendación </w:t>
      </w:r>
      <w:proofErr w:type="spellStart"/>
      <w:r w:rsidRPr="00625FB7">
        <w:rPr>
          <w:sz w:val="18"/>
          <w:szCs w:val="18"/>
        </w:rPr>
        <w:t>JPrimo</w:t>
      </w:r>
      <w:proofErr w:type="spellEnd"/>
      <w:r w:rsidRPr="00625FB7">
        <w:rPr>
          <w:sz w:val="18"/>
          <w:szCs w:val="18"/>
        </w:rPr>
        <w:t xml:space="preserve"> </w:t>
      </w:r>
    </w:p>
    <w:p w:rsidR="0058249C" w:rsidRPr="00625FB7" w:rsidRDefault="00625FB7" w:rsidP="00625FB7">
      <w:pPr>
        <w:pStyle w:val="Sinespaciado"/>
        <w:jc w:val="both"/>
        <w:rPr>
          <w:sz w:val="18"/>
          <w:szCs w:val="18"/>
          <w:vertAlign w:val="subscript"/>
        </w:rPr>
      </w:pPr>
      <w:r w:rsidRPr="00625FB7">
        <w:rPr>
          <w:sz w:val="18"/>
          <w:szCs w:val="18"/>
        </w:rPr>
        <w:t>Hospital</w:t>
      </w:r>
      <w:r w:rsidR="0058249C" w:rsidRPr="00625FB7">
        <w:rPr>
          <w:sz w:val="18"/>
          <w:szCs w:val="18"/>
        </w:rPr>
        <w:t xml:space="preserve"> de Sagunto, valencia. 24 de enero de 2003. </w:t>
      </w:r>
      <w:r w:rsidRPr="00625FB7">
        <w:rPr>
          <w:sz w:val="18"/>
          <w:szCs w:val="18"/>
          <w:vertAlign w:val="subscript"/>
        </w:rPr>
        <w:t>2</w:t>
      </w:r>
    </w:p>
    <w:p w:rsidR="00625FB7" w:rsidRPr="00625FB7" w:rsidRDefault="00625FB7" w:rsidP="00625FB7">
      <w:pPr>
        <w:pStyle w:val="Sinespaciado"/>
        <w:jc w:val="both"/>
        <w:rPr>
          <w:sz w:val="18"/>
          <w:szCs w:val="18"/>
          <w:vertAlign w:val="subscript"/>
        </w:rPr>
      </w:pPr>
    </w:p>
    <w:p w:rsidR="00FD02A3" w:rsidRDefault="00625FB7" w:rsidP="00A90640">
      <w:pPr>
        <w:jc w:val="both"/>
        <w:rPr>
          <w:sz w:val="16"/>
          <w:szCs w:val="16"/>
          <w:vertAlign w:val="subscript"/>
          <w:lang w:val="en-US"/>
        </w:rPr>
      </w:pPr>
      <w:proofErr w:type="spellStart"/>
      <w:proofErr w:type="gramStart"/>
      <w:r w:rsidRPr="00625FB7">
        <w:rPr>
          <w:sz w:val="18"/>
          <w:szCs w:val="18"/>
          <w:lang w:val="en-US"/>
        </w:rPr>
        <w:t>Epidemiologia</w:t>
      </w:r>
      <w:proofErr w:type="spellEnd"/>
      <w:r w:rsidRPr="00625FB7">
        <w:rPr>
          <w:sz w:val="18"/>
          <w:szCs w:val="18"/>
          <w:lang w:val="en-US"/>
        </w:rPr>
        <w:t xml:space="preserve"> </w:t>
      </w:r>
      <w:proofErr w:type="spellStart"/>
      <w:r w:rsidRPr="00625FB7">
        <w:rPr>
          <w:sz w:val="18"/>
          <w:szCs w:val="18"/>
          <w:lang w:val="en-US"/>
        </w:rPr>
        <w:t>clínica</w:t>
      </w:r>
      <w:proofErr w:type="spellEnd"/>
      <w:r w:rsidRPr="00625FB7">
        <w:rPr>
          <w:sz w:val="18"/>
          <w:szCs w:val="18"/>
          <w:lang w:val="en-US"/>
        </w:rPr>
        <w:t xml:space="preserve"> 4.</w:t>
      </w:r>
      <w:r w:rsidRPr="00625FB7">
        <w:rPr>
          <w:sz w:val="18"/>
          <w:szCs w:val="18"/>
          <w:vertAlign w:val="superscript"/>
          <w:lang w:val="en-US"/>
        </w:rPr>
        <w:t>a</w:t>
      </w:r>
      <w:r w:rsidRPr="00625FB7">
        <w:rPr>
          <w:sz w:val="18"/>
          <w:szCs w:val="18"/>
          <w:lang w:val="en-US"/>
        </w:rPr>
        <w:t xml:space="preserve"> Robert H. </w:t>
      </w:r>
      <w:proofErr w:type="spellStart"/>
      <w:r w:rsidRPr="00625FB7">
        <w:rPr>
          <w:sz w:val="18"/>
          <w:szCs w:val="18"/>
          <w:lang w:val="en-US"/>
        </w:rPr>
        <w:t>Fletecher</w:t>
      </w:r>
      <w:proofErr w:type="spellEnd"/>
      <w:r w:rsidRPr="00625FB7">
        <w:rPr>
          <w:sz w:val="18"/>
          <w:szCs w:val="18"/>
          <w:lang w:val="en-US"/>
        </w:rPr>
        <w:t>, Suzanne W. Fletcher</w:t>
      </w:r>
      <w:r w:rsidRPr="00625FB7">
        <w:rPr>
          <w:sz w:val="16"/>
          <w:szCs w:val="16"/>
          <w:lang w:val="en-US"/>
        </w:rPr>
        <w:t>.</w:t>
      </w:r>
      <w:proofErr w:type="gramEnd"/>
      <w:r w:rsidRPr="00625FB7">
        <w:rPr>
          <w:sz w:val="16"/>
          <w:szCs w:val="16"/>
          <w:lang w:val="en-US"/>
        </w:rPr>
        <w:t xml:space="preserve"> </w:t>
      </w:r>
      <w:r w:rsidRPr="00625FB7">
        <w:rPr>
          <w:sz w:val="16"/>
          <w:szCs w:val="16"/>
          <w:vertAlign w:val="subscript"/>
          <w:lang w:val="en-US"/>
        </w:rPr>
        <w:t>3</w:t>
      </w:r>
    </w:p>
    <w:p w:rsidR="008F7F4B" w:rsidRDefault="008F7F4B" w:rsidP="00A90640">
      <w:pPr>
        <w:jc w:val="both"/>
        <w:rPr>
          <w:sz w:val="16"/>
          <w:szCs w:val="16"/>
          <w:vertAlign w:val="subscript"/>
          <w:lang w:val="en-US"/>
        </w:rPr>
      </w:pPr>
    </w:p>
    <w:p w:rsidR="008F7F4B" w:rsidRPr="00625FB7" w:rsidRDefault="008F7F4B" w:rsidP="00A90640">
      <w:pPr>
        <w:jc w:val="both"/>
        <w:rPr>
          <w:sz w:val="16"/>
          <w:szCs w:val="16"/>
          <w:vertAlign w:val="subscript"/>
          <w:lang w:val="en-US"/>
        </w:rPr>
      </w:pPr>
      <w:bookmarkStart w:id="0" w:name="_GoBack"/>
      <w:bookmarkEnd w:id="0"/>
    </w:p>
    <w:sectPr w:rsidR="008F7F4B" w:rsidRPr="00625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24"/>
    <w:rsid w:val="00036BC9"/>
    <w:rsid w:val="000436D1"/>
    <w:rsid w:val="00047832"/>
    <w:rsid w:val="0007652F"/>
    <w:rsid w:val="000873CC"/>
    <w:rsid w:val="000C7012"/>
    <w:rsid w:val="000C711D"/>
    <w:rsid w:val="000F2436"/>
    <w:rsid w:val="00107AC1"/>
    <w:rsid w:val="00120790"/>
    <w:rsid w:val="00124790"/>
    <w:rsid w:val="001718D8"/>
    <w:rsid w:val="0018561F"/>
    <w:rsid w:val="001E1742"/>
    <w:rsid w:val="001E7A56"/>
    <w:rsid w:val="002446E2"/>
    <w:rsid w:val="00252185"/>
    <w:rsid w:val="002539C2"/>
    <w:rsid w:val="002B49A0"/>
    <w:rsid w:val="002B785C"/>
    <w:rsid w:val="002C21E3"/>
    <w:rsid w:val="002D4BE2"/>
    <w:rsid w:val="002F0D35"/>
    <w:rsid w:val="00343DA6"/>
    <w:rsid w:val="003549E3"/>
    <w:rsid w:val="003650FD"/>
    <w:rsid w:val="0036549C"/>
    <w:rsid w:val="003C11FA"/>
    <w:rsid w:val="003D752A"/>
    <w:rsid w:val="003F4C6F"/>
    <w:rsid w:val="0042187D"/>
    <w:rsid w:val="00444B24"/>
    <w:rsid w:val="00497E79"/>
    <w:rsid w:val="004A56F6"/>
    <w:rsid w:val="004E57EF"/>
    <w:rsid w:val="0053584A"/>
    <w:rsid w:val="00553D9E"/>
    <w:rsid w:val="00566CF9"/>
    <w:rsid w:val="00570DB5"/>
    <w:rsid w:val="0058249C"/>
    <w:rsid w:val="005A37DA"/>
    <w:rsid w:val="005E3578"/>
    <w:rsid w:val="005E3990"/>
    <w:rsid w:val="005F4452"/>
    <w:rsid w:val="006060DD"/>
    <w:rsid w:val="00625FB7"/>
    <w:rsid w:val="006403F0"/>
    <w:rsid w:val="00671700"/>
    <w:rsid w:val="00674F50"/>
    <w:rsid w:val="006905D3"/>
    <w:rsid w:val="006A4242"/>
    <w:rsid w:val="006D4F11"/>
    <w:rsid w:val="006E2371"/>
    <w:rsid w:val="006E3E47"/>
    <w:rsid w:val="006F23FB"/>
    <w:rsid w:val="00700474"/>
    <w:rsid w:val="0070150B"/>
    <w:rsid w:val="00704CE2"/>
    <w:rsid w:val="007617B5"/>
    <w:rsid w:val="00763284"/>
    <w:rsid w:val="007A28D6"/>
    <w:rsid w:val="007D3868"/>
    <w:rsid w:val="008353D2"/>
    <w:rsid w:val="00875E1F"/>
    <w:rsid w:val="008A126B"/>
    <w:rsid w:val="008A7766"/>
    <w:rsid w:val="008E3D28"/>
    <w:rsid w:val="008E7575"/>
    <w:rsid w:val="008F7F4B"/>
    <w:rsid w:val="00903951"/>
    <w:rsid w:val="00954700"/>
    <w:rsid w:val="00981B76"/>
    <w:rsid w:val="009A08FA"/>
    <w:rsid w:val="009A49C2"/>
    <w:rsid w:val="009B3EB3"/>
    <w:rsid w:val="009D2C7F"/>
    <w:rsid w:val="009D7ED7"/>
    <w:rsid w:val="009F11D7"/>
    <w:rsid w:val="009F28CA"/>
    <w:rsid w:val="009F5CA3"/>
    <w:rsid w:val="009F6764"/>
    <w:rsid w:val="00A01AF5"/>
    <w:rsid w:val="00A0427D"/>
    <w:rsid w:val="00A07E2D"/>
    <w:rsid w:val="00A132C9"/>
    <w:rsid w:val="00A21A81"/>
    <w:rsid w:val="00A4455C"/>
    <w:rsid w:val="00A60836"/>
    <w:rsid w:val="00A612C8"/>
    <w:rsid w:val="00A90640"/>
    <w:rsid w:val="00AA55A3"/>
    <w:rsid w:val="00B12EDD"/>
    <w:rsid w:val="00B27EFD"/>
    <w:rsid w:val="00B3513D"/>
    <w:rsid w:val="00BC618D"/>
    <w:rsid w:val="00BD225F"/>
    <w:rsid w:val="00BF1320"/>
    <w:rsid w:val="00C12494"/>
    <w:rsid w:val="00C164B6"/>
    <w:rsid w:val="00C46287"/>
    <w:rsid w:val="00C521CD"/>
    <w:rsid w:val="00CB3222"/>
    <w:rsid w:val="00CD0807"/>
    <w:rsid w:val="00D127C4"/>
    <w:rsid w:val="00D30DA4"/>
    <w:rsid w:val="00D641F4"/>
    <w:rsid w:val="00D747CC"/>
    <w:rsid w:val="00D76A63"/>
    <w:rsid w:val="00D8524C"/>
    <w:rsid w:val="00D92370"/>
    <w:rsid w:val="00DB2A5E"/>
    <w:rsid w:val="00DD2C79"/>
    <w:rsid w:val="00DD3783"/>
    <w:rsid w:val="00E11BF2"/>
    <w:rsid w:val="00E47D99"/>
    <w:rsid w:val="00E80607"/>
    <w:rsid w:val="00E80D07"/>
    <w:rsid w:val="00E93495"/>
    <w:rsid w:val="00EB4AA4"/>
    <w:rsid w:val="00ED49E7"/>
    <w:rsid w:val="00EE16F8"/>
    <w:rsid w:val="00EF5EFC"/>
    <w:rsid w:val="00F11B94"/>
    <w:rsid w:val="00F409F0"/>
    <w:rsid w:val="00F600EA"/>
    <w:rsid w:val="00F72760"/>
    <w:rsid w:val="00F82812"/>
    <w:rsid w:val="00FB595D"/>
    <w:rsid w:val="00FB6252"/>
    <w:rsid w:val="00FB70CB"/>
    <w:rsid w:val="00FC5FD4"/>
    <w:rsid w:val="00FD02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B24"/>
    <w:rPr>
      <w:rFonts w:ascii="Tahoma" w:hAnsi="Tahoma" w:cs="Tahoma"/>
      <w:sz w:val="16"/>
      <w:szCs w:val="16"/>
    </w:rPr>
  </w:style>
  <w:style w:type="table" w:styleId="Tablaconcuadrcula">
    <w:name w:val="Table Grid"/>
    <w:basedOn w:val="Tablanormal"/>
    <w:uiPriority w:val="59"/>
    <w:rsid w:val="0062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25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B24"/>
    <w:rPr>
      <w:rFonts w:ascii="Tahoma" w:hAnsi="Tahoma" w:cs="Tahoma"/>
      <w:sz w:val="16"/>
      <w:szCs w:val="16"/>
    </w:rPr>
  </w:style>
  <w:style w:type="table" w:styleId="Tablaconcuadrcula">
    <w:name w:val="Table Grid"/>
    <w:basedOn w:val="Tablanormal"/>
    <w:uiPriority w:val="59"/>
    <w:rsid w:val="0062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25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5</cp:revision>
  <dcterms:created xsi:type="dcterms:W3CDTF">2014-02-11T02:15:00Z</dcterms:created>
  <dcterms:modified xsi:type="dcterms:W3CDTF">2014-02-12T04:45:00Z</dcterms:modified>
</cp:coreProperties>
</file>