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A" w:rsidRDefault="0055738A" w:rsidP="0055738A">
      <w:pPr>
        <w:widowControl w:val="0"/>
        <w:autoSpaceDE w:val="0"/>
        <w:autoSpaceDN w:val="0"/>
        <w:adjustRightInd w:val="0"/>
        <w:spacing w:after="240"/>
        <w:rPr>
          <w:rFonts w:ascii="Times" w:hAnsi="Times" w:cs="Times"/>
          <w:lang w:val="es-ES"/>
        </w:rPr>
      </w:pPr>
      <w:r>
        <w:rPr>
          <w:rFonts w:ascii="Arial" w:hAnsi="Arial" w:cs="Arial"/>
          <w:b/>
          <w:bCs/>
          <w:sz w:val="32"/>
          <w:szCs w:val="32"/>
          <w:lang w:val="es-ES"/>
        </w:rPr>
        <w:t>HISTORIA DE LA MEDICINA BASADA EN EVIDENCIA</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 xml:space="preserve">La Medicina Basada en Evidencia es una de las expresiones de un antiguo movimiento de mejora de la calidad clínica, que se vio potenciado por la demostración de la falta de fundamento de muchas decisiones clínicas y de la enorme variabilidad de la práctica médica, y por la crítica a la medicina. Su desarrollo se inició en los años sesenta del siglo XX, cuando se empezó a aplicar el diseño de los ensayos clínicos al campo médico, y se desarrollaron trabajos iniciales al respecto. Sobre la falta de fundamento de las decisiones clínicas, los trabajos pioneros son de Cochrane, en 1972; de John </w:t>
      </w:r>
      <w:proofErr w:type="spellStart"/>
      <w:r>
        <w:rPr>
          <w:rFonts w:ascii="Arial" w:hAnsi="Arial" w:cs="Arial"/>
          <w:sz w:val="32"/>
          <w:szCs w:val="32"/>
          <w:lang w:val="es-ES"/>
        </w:rPr>
        <w:t>Wennberg</w:t>
      </w:r>
      <w:proofErr w:type="spellEnd"/>
      <w:r>
        <w:rPr>
          <w:rFonts w:ascii="Arial" w:hAnsi="Arial" w:cs="Arial"/>
          <w:sz w:val="32"/>
          <w:szCs w:val="32"/>
          <w:lang w:val="es-ES"/>
        </w:rPr>
        <w:t xml:space="preserve"> en 1973, son los trabajos sobre la variabilidad de la práctica clínica; y de Iván </w:t>
      </w:r>
      <w:proofErr w:type="spellStart"/>
      <w:r>
        <w:rPr>
          <w:rFonts w:ascii="Arial" w:hAnsi="Arial" w:cs="Arial"/>
          <w:sz w:val="32"/>
          <w:szCs w:val="32"/>
          <w:lang w:val="es-ES"/>
        </w:rPr>
        <w:t>Illich</w:t>
      </w:r>
      <w:proofErr w:type="spellEnd"/>
      <w:r>
        <w:rPr>
          <w:rFonts w:ascii="Arial" w:hAnsi="Arial" w:cs="Arial"/>
          <w:sz w:val="32"/>
          <w:szCs w:val="32"/>
          <w:lang w:val="es-ES"/>
        </w:rPr>
        <w:t xml:space="preserve"> y </w:t>
      </w:r>
      <w:proofErr w:type="spellStart"/>
      <w:r>
        <w:rPr>
          <w:rFonts w:ascii="Arial" w:hAnsi="Arial" w:cs="Arial"/>
          <w:sz w:val="32"/>
          <w:szCs w:val="32"/>
          <w:lang w:val="es-ES"/>
        </w:rPr>
        <w:t>Thomás</w:t>
      </w:r>
      <w:proofErr w:type="spellEnd"/>
      <w:r>
        <w:rPr>
          <w:rFonts w:ascii="Arial" w:hAnsi="Arial" w:cs="Arial"/>
          <w:sz w:val="32"/>
          <w:szCs w:val="32"/>
          <w:lang w:val="es-ES"/>
        </w:rPr>
        <w:t xml:space="preserve"> </w:t>
      </w:r>
      <w:proofErr w:type="spellStart"/>
      <w:r>
        <w:rPr>
          <w:rFonts w:ascii="Arial" w:hAnsi="Arial" w:cs="Arial"/>
          <w:sz w:val="32"/>
          <w:szCs w:val="32"/>
          <w:lang w:val="es-ES"/>
        </w:rPr>
        <w:t>McKeown</w:t>
      </w:r>
      <w:proofErr w:type="spellEnd"/>
      <w:r>
        <w:rPr>
          <w:rFonts w:ascii="Arial" w:hAnsi="Arial" w:cs="Arial"/>
          <w:sz w:val="32"/>
          <w:szCs w:val="32"/>
          <w:lang w:val="es-ES"/>
        </w:rPr>
        <w:t xml:space="preserve"> en 1976, sobre crítica a la medicina. El concepto de “basado en prueba” lo expresó, como tal, por primera vez David Eddy en 1982. Después vendría el desarrollo explosivo de la medicina basada en pruebas, primero en un círculo restringido, en 1991, y después en todo el mundo, desde 1992, por influencia del canadiense </w:t>
      </w:r>
      <w:proofErr w:type="spellStart"/>
      <w:r>
        <w:rPr>
          <w:rFonts w:ascii="Arial" w:hAnsi="Arial" w:cs="Arial"/>
          <w:i/>
          <w:iCs/>
          <w:sz w:val="32"/>
          <w:szCs w:val="32"/>
          <w:lang w:val="es-ES"/>
        </w:rPr>
        <w:t>Evidence-Based</w:t>
      </w:r>
      <w:proofErr w:type="spellEnd"/>
      <w:r>
        <w:rPr>
          <w:rFonts w:ascii="Arial" w:hAnsi="Arial" w:cs="Arial"/>
          <w:i/>
          <w:iCs/>
          <w:sz w:val="32"/>
          <w:szCs w:val="32"/>
          <w:lang w:val="es-ES"/>
        </w:rPr>
        <w:t xml:space="preserve"> Medicine </w:t>
      </w:r>
      <w:proofErr w:type="spellStart"/>
      <w:r>
        <w:rPr>
          <w:rFonts w:ascii="Arial" w:hAnsi="Arial" w:cs="Arial"/>
          <w:i/>
          <w:iCs/>
          <w:sz w:val="32"/>
          <w:szCs w:val="32"/>
          <w:lang w:val="es-ES"/>
        </w:rPr>
        <w:t>Working</w:t>
      </w:r>
      <w:proofErr w:type="spellEnd"/>
      <w:r>
        <w:rPr>
          <w:rFonts w:ascii="Arial" w:hAnsi="Arial" w:cs="Arial"/>
          <w:i/>
          <w:iCs/>
          <w:sz w:val="32"/>
          <w:szCs w:val="32"/>
          <w:lang w:val="es-ES"/>
        </w:rPr>
        <w:t xml:space="preserve"> </w:t>
      </w:r>
      <w:proofErr w:type="spellStart"/>
      <w:r>
        <w:rPr>
          <w:rFonts w:ascii="Arial" w:hAnsi="Arial" w:cs="Arial"/>
          <w:i/>
          <w:iCs/>
          <w:sz w:val="32"/>
          <w:szCs w:val="32"/>
          <w:lang w:val="es-ES"/>
        </w:rPr>
        <w:t>Group</w:t>
      </w:r>
      <w:proofErr w:type="spellEnd"/>
      <w:r>
        <w:rPr>
          <w:rFonts w:ascii="Arial" w:hAnsi="Arial" w:cs="Arial"/>
          <w:i/>
          <w:iCs/>
          <w:sz w:val="32"/>
          <w:szCs w:val="32"/>
          <w:lang w:val="es-ES"/>
        </w:rPr>
        <w:t xml:space="preserve">. </w:t>
      </w:r>
      <w:r>
        <w:rPr>
          <w:rFonts w:ascii="Arial" w:hAnsi="Arial" w:cs="Arial"/>
          <w:sz w:val="32"/>
          <w:szCs w:val="32"/>
          <w:lang w:val="es-ES"/>
        </w:rPr>
        <w:t>En noviembre de 1992 el “</w:t>
      </w:r>
      <w:proofErr w:type="spellStart"/>
      <w:r>
        <w:rPr>
          <w:rFonts w:ascii="Arial" w:hAnsi="Arial" w:cs="Arial"/>
          <w:sz w:val="32"/>
          <w:szCs w:val="32"/>
          <w:lang w:val="es-ES"/>
        </w:rPr>
        <w:t>Evidence-Based</w:t>
      </w:r>
      <w:proofErr w:type="spellEnd"/>
      <w:r>
        <w:rPr>
          <w:rFonts w:ascii="Arial" w:hAnsi="Arial" w:cs="Arial"/>
          <w:sz w:val="32"/>
          <w:szCs w:val="32"/>
          <w:lang w:val="es-ES"/>
        </w:rPr>
        <w:t xml:space="preserve"> Medicine </w:t>
      </w:r>
      <w:proofErr w:type="spellStart"/>
      <w:r>
        <w:rPr>
          <w:rFonts w:ascii="Arial" w:hAnsi="Arial" w:cs="Arial"/>
          <w:sz w:val="32"/>
          <w:szCs w:val="32"/>
          <w:lang w:val="es-ES"/>
        </w:rPr>
        <w:t>Working</w:t>
      </w:r>
      <w:proofErr w:type="spellEnd"/>
      <w:r>
        <w:rPr>
          <w:rFonts w:ascii="Arial" w:hAnsi="Arial" w:cs="Arial"/>
          <w:sz w:val="32"/>
          <w:szCs w:val="32"/>
          <w:lang w:val="es-ES"/>
        </w:rPr>
        <w:t xml:space="preserve"> </w:t>
      </w:r>
      <w:proofErr w:type="spellStart"/>
      <w:r>
        <w:rPr>
          <w:rFonts w:ascii="Arial" w:hAnsi="Arial" w:cs="Arial"/>
          <w:sz w:val="32"/>
          <w:szCs w:val="32"/>
          <w:lang w:val="es-ES"/>
        </w:rPr>
        <w:t>Group</w:t>
      </w:r>
      <w:proofErr w:type="spellEnd"/>
      <w:r>
        <w:rPr>
          <w:rFonts w:ascii="Arial" w:hAnsi="Arial" w:cs="Arial"/>
          <w:sz w:val="32"/>
          <w:szCs w:val="32"/>
          <w:lang w:val="es-ES"/>
        </w:rPr>
        <w:t xml:space="preserve">” (EBMWG), Grupo de Trabajo en Medicina Basada en la Evidencia de la Universidad </w:t>
      </w:r>
      <w:proofErr w:type="spellStart"/>
      <w:r>
        <w:rPr>
          <w:rFonts w:ascii="Arial" w:hAnsi="Arial" w:cs="Arial"/>
          <w:sz w:val="32"/>
          <w:szCs w:val="32"/>
          <w:lang w:val="es-ES"/>
        </w:rPr>
        <w:t>McMaster</w:t>
      </w:r>
      <w:proofErr w:type="spellEnd"/>
      <w:r>
        <w:rPr>
          <w:rFonts w:ascii="Arial" w:hAnsi="Arial" w:cs="Arial"/>
          <w:sz w:val="32"/>
          <w:szCs w:val="32"/>
          <w:lang w:val="es-ES"/>
        </w:rPr>
        <w:t xml:space="preserve"> en Ontario (Canadá), publicaba en la revista JAMA, el artículo titulado: </w:t>
      </w:r>
      <w:proofErr w:type="spellStart"/>
      <w:r>
        <w:rPr>
          <w:rFonts w:ascii="Arial" w:hAnsi="Arial" w:cs="Arial"/>
          <w:i/>
          <w:iCs/>
          <w:sz w:val="32"/>
          <w:szCs w:val="32"/>
          <w:lang w:val="es-ES"/>
        </w:rPr>
        <w:t>Evidence-based</w:t>
      </w:r>
      <w:proofErr w:type="spellEnd"/>
      <w:r>
        <w:rPr>
          <w:rFonts w:ascii="Arial" w:hAnsi="Arial" w:cs="Arial"/>
          <w:i/>
          <w:iCs/>
          <w:sz w:val="32"/>
          <w:szCs w:val="32"/>
          <w:lang w:val="es-ES"/>
        </w:rPr>
        <w:t xml:space="preserve"> medicine. A new </w:t>
      </w:r>
      <w:proofErr w:type="spellStart"/>
      <w:r>
        <w:rPr>
          <w:rFonts w:ascii="Arial" w:hAnsi="Arial" w:cs="Arial"/>
          <w:i/>
          <w:iCs/>
          <w:sz w:val="32"/>
          <w:szCs w:val="32"/>
          <w:lang w:val="es-ES"/>
        </w:rPr>
        <w:t>approach</w:t>
      </w:r>
      <w:proofErr w:type="spellEnd"/>
      <w:r>
        <w:rPr>
          <w:rFonts w:ascii="Arial" w:hAnsi="Arial" w:cs="Arial"/>
          <w:i/>
          <w:iCs/>
          <w:sz w:val="32"/>
          <w:szCs w:val="32"/>
          <w:lang w:val="es-ES"/>
        </w:rPr>
        <w:t xml:space="preserve"> </w:t>
      </w:r>
      <w:proofErr w:type="spellStart"/>
      <w:r>
        <w:rPr>
          <w:rFonts w:ascii="Arial" w:hAnsi="Arial" w:cs="Arial"/>
          <w:i/>
          <w:iCs/>
          <w:sz w:val="32"/>
          <w:szCs w:val="32"/>
          <w:lang w:val="es-ES"/>
        </w:rPr>
        <w:t>to</w:t>
      </w:r>
      <w:proofErr w:type="spellEnd"/>
      <w:r>
        <w:rPr>
          <w:rFonts w:ascii="Arial" w:hAnsi="Arial" w:cs="Arial"/>
          <w:i/>
          <w:iCs/>
          <w:sz w:val="32"/>
          <w:szCs w:val="32"/>
          <w:lang w:val="es-ES"/>
        </w:rPr>
        <w:t xml:space="preserve"> </w:t>
      </w:r>
      <w:proofErr w:type="spellStart"/>
      <w:r>
        <w:rPr>
          <w:rFonts w:ascii="Arial" w:hAnsi="Arial" w:cs="Arial"/>
          <w:i/>
          <w:iCs/>
          <w:sz w:val="32"/>
          <w:szCs w:val="32"/>
          <w:lang w:val="es-ES"/>
        </w:rPr>
        <w:t>teaching</w:t>
      </w:r>
      <w:proofErr w:type="spellEnd"/>
      <w:r>
        <w:rPr>
          <w:rFonts w:ascii="Arial" w:hAnsi="Arial" w:cs="Arial"/>
          <w:i/>
          <w:iCs/>
          <w:sz w:val="32"/>
          <w:szCs w:val="32"/>
          <w:lang w:val="es-ES"/>
        </w:rPr>
        <w:t xml:space="preserve"> </w:t>
      </w:r>
      <w:proofErr w:type="spellStart"/>
      <w:r>
        <w:rPr>
          <w:rFonts w:ascii="Arial" w:hAnsi="Arial" w:cs="Arial"/>
          <w:i/>
          <w:iCs/>
          <w:sz w:val="32"/>
          <w:szCs w:val="32"/>
          <w:lang w:val="es-ES"/>
        </w:rPr>
        <w:t>the</w:t>
      </w:r>
      <w:proofErr w:type="spellEnd"/>
      <w:r>
        <w:rPr>
          <w:rFonts w:ascii="Arial" w:hAnsi="Arial" w:cs="Arial"/>
          <w:i/>
          <w:iCs/>
          <w:sz w:val="32"/>
          <w:szCs w:val="32"/>
          <w:lang w:val="es-ES"/>
        </w:rPr>
        <w:t xml:space="preserve"> </w:t>
      </w:r>
      <w:proofErr w:type="spellStart"/>
      <w:r>
        <w:rPr>
          <w:rFonts w:ascii="Arial" w:hAnsi="Arial" w:cs="Arial"/>
          <w:i/>
          <w:iCs/>
          <w:sz w:val="32"/>
          <w:szCs w:val="32"/>
          <w:lang w:val="es-ES"/>
        </w:rPr>
        <w:t>practice</w:t>
      </w:r>
      <w:proofErr w:type="spellEnd"/>
      <w:r>
        <w:rPr>
          <w:rFonts w:ascii="Arial" w:hAnsi="Arial" w:cs="Arial"/>
          <w:i/>
          <w:iCs/>
          <w:sz w:val="32"/>
          <w:szCs w:val="32"/>
          <w:lang w:val="es-ES"/>
        </w:rPr>
        <w:t xml:space="preserve"> of medicine</w:t>
      </w:r>
      <w:r>
        <w:rPr>
          <w:rFonts w:ascii="Arial" w:hAnsi="Arial" w:cs="Arial"/>
          <w:sz w:val="32"/>
          <w:szCs w:val="32"/>
          <w:lang w:val="es-ES"/>
        </w:rPr>
        <w:t xml:space="preserve">. Se iniciaba la difusión de un nuevo enfoque para la práctica de la medicina. Este trabajo proponía un cambio en el modelo o paradigma del aprendizaje y el ejercicio de la medicina, y formulaba el ideario del movimiento. La MBE ha cambiado la formación médica en muchas escuelas de medicina y de disciplinas afines en el campo de la salud. Las metodologías empleadas para determinar la mejor evidencia fueron establecidas por el equipo de </w:t>
      </w:r>
      <w:proofErr w:type="spellStart"/>
      <w:r>
        <w:rPr>
          <w:rFonts w:ascii="Arial" w:hAnsi="Arial" w:cs="Arial"/>
          <w:sz w:val="32"/>
          <w:szCs w:val="32"/>
          <w:lang w:val="es-ES"/>
        </w:rPr>
        <w:t>McMaster</w:t>
      </w:r>
      <w:proofErr w:type="spellEnd"/>
      <w:r>
        <w:rPr>
          <w:rFonts w:ascii="Arial" w:hAnsi="Arial" w:cs="Arial"/>
          <w:sz w:val="32"/>
          <w:szCs w:val="32"/>
          <w:lang w:val="es-ES"/>
        </w:rPr>
        <w:t xml:space="preserve"> conducido por los médicos David </w:t>
      </w:r>
      <w:proofErr w:type="spellStart"/>
      <w:r>
        <w:rPr>
          <w:rFonts w:ascii="Arial" w:hAnsi="Arial" w:cs="Arial"/>
          <w:sz w:val="32"/>
          <w:szCs w:val="32"/>
          <w:lang w:val="es-ES"/>
        </w:rPr>
        <w:t>Sackett</w:t>
      </w:r>
      <w:proofErr w:type="spellEnd"/>
      <w:r>
        <w:rPr>
          <w:rFonts w:ascii="Arial" w:hAnsi="Arial" w:cs="Arial"/>
          <w:sz w:val="32"/>
          <w:szCs w:val="32"/>
          <w:lang w:val="es-ES"/>
        </w:rPr>
        <w:t xml:space="preserve"> y Gordon </w:t>
      </w:r>
      <w:proofErr w:type="spellStart"/>
      <w:r>
        <w:rPr>
          <w:rFonts w:ascii="Arial" w:hAnsi="Arial" w:cs="Arial"/>
          <w:sz w:val="32"/>
          <w:szCs w:val="32"/>
          <w:lang w:val="es-ES"/>
        </w:rPr>
        <w:t>Guyatt</w:t>
      </w:r>
      <w:proofErr w:type="spellEnd"/>
      <w:r>
        <w:rPr>
          <w:rFonts w:ascii="Arial" w:hAnsi="Arial" w:cs="Arial"/>
          <w:sz w:val="32"/>
          <w:szCs w:val="32"/>
          <w:lang w:val="es-ES"/>
        </w:rPr>
        <w:t>.</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color w:val="535353"/>
          <w:sz w:val="32"/>
          <w:szCs w:val="32"/>
          <w:lang w:val="es-ES"/>
        </w:rPr>
        <w:lastRenderedPageBreak/>
        <w:t>estructurar los tipos de sesgos en una tabla y sus respectivas diferencias.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b/>
          <w:bCs/>
          <w:sz w:val="32"/>
          <w:szCs w:val="32"/>
          <w:lang w:val="es-ES"/>
        </w:rPr>
        <w:t>TIPOS DE ESTUDIOS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Estudios Epidemiológicos -Descriptivos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-Analíticos -Observacionales -Experimentales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Estudios Transversales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Diseño de Estudios Clínicos Estudios Longitudinales Ensayo Clínico Ensayo Clínico Paralelo Estudio de Cohortes Estudio de Casos y Controles Serie de Casos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b/>
          <w:bCs/>
          <w:sz w:val="32"/>
          <w:szCs w:val="32"/>
          <w:lang w:val="es-ES"/>
        </w:rPr>
        <w:t>TIPOS DE SESGOS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Sesgos de Selección</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 xml:space="preserve">Sesgo de </w:t>
      </w:r>
      <w:proofErr w:type="spellStart"/>
      <w:r>
        <w:rPr>
          <w:rFonts w:ascii="Arial" w:hAnsi="Arial" w:cs="Arial"/>
          <w:sz w:val="32"/>
          <w:szCs w:val="32"/>
          <w:lang w:val="es-ES"/>
        </w:rPr>
        <w:t>Neymann</w:t>
      </w:r>
      <w:proofErr w:type="spellEnd"/>
      <w:r>
        <w:rPr>
          <w:rFonts w:ascii="Arial" w:hAnsi="Arial" w:cs="Arial"/>
          <w:sz w:val="32"/>
          <w:szCs w:val="32"/>
          <w:lang w:val="es-ES"/>
        </w:rPr>
        <w:t xml:space="preserve"> (de prevalencia o incidencia)</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 produce cuando la condición en estudio determina pérdida prematura por fallecimiento de los sujetos afectados por ella.</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 xml:space="preserve">Sesgo de </w:t>
      </w:r>
      <w:proofErr w:type="spellStart"/>
      <w:r>
        <w:rPr>
          <w:rFonts w:ascii="Arial" w:hAnsi="Arial" w:cs="Arial"/>
          <w:sz w:val="32"/>
          <w:szCs w:val="32"/>
          <w:lang w:val="es-ES"/>
        </w:rPr>
        <w:t>Berkson</w:t>
      </w:r>
      <w:proofErr w:type="spellEnd"/>
      <w:r>
        <w:rPr>
          <w:rFonts w:ascii="Arial" w:hAnsi="Arial" w:cs="Arial"/>
          <w:sz w:val="32"/>
          <w:szCs w:val="32"/>
          <w:lang w:val="es-ES"/>
        </w:rPr>
        <w:t xml:space="preserve"> (de admisión).</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Es el que se produce cuando para saber que ocurre en la población. Se elige una muestra hospitalaria de esa población y el factor de riesgo que se está estudiando. Al trabajarse con población hospitalaria, es muy posible que los individuos que forman la muestra tengan unas características diferentes con respeto a la población</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no respuesta o efecto del voluntario.</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55738A" w:rsidRDefault="0055738A"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membrecía (o de pertenencia)</w:t>
      </w:r>
    </w:p>
    <w:p w:rsidR="0055738A" w:rsidRDefault="0055738A" w:rsidP="007B2E51">
      <w:pPr>
        <w:widowControl w:val="0"/>
        <w:autoSpaceDE w:val="0"/>
        <w:autoSpaceDN w:val="0"/>
        <w:adjustRightInd w:val="0"/>
        <w:spacing w:after="240"/>
        <w:jc w:val="both"/>
        <w:rPr>
          <w:rFonts w:ascii="Arial" w:hAnsi="Arial" w:cs="Arial"/>
          <w:sz w:val="32"/>
          <w:szCs w:val="32"/>
          <w:lang w:val="es-ES"/>
        </w:rPr>
      </w:pPr>
      <w:r>
        <w:rPr>
          <w:rFonts w:ascii="Arial" w:hAnsi="Arial" w:cs="Arial"/>
          <w:sz w:val="32"/>
          <w:szCs w:val="32"/>
          <w:lang w:val="es-ES"/>
        </w:rPr>
        <w:t>Se produce cuando entre los sujetos evaluados se presentan subgrupos de sujetos que comparten algún atributo en particular, relacionado positiva o negativamente con la variable en estudio</w:t>
      </w:r>
      <w:r w:rsidR="007B2E51">
        <w:rPr>
          <w:rFonts w:ascii="Arial" w:hAnsi="Arial" w:cs="Arial"/>
          <w:sz w:val="32"/>
          <w:szCs w:val="32"/>
          <w:lang w:val="es-ES"/>
        </w:rPr>
        <w:t>.</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del procedimiento de selección</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Puede observarse en diseños de investigación experimentales (ensayos clínicos controlados), en los cuales no se respeta el principio de aleatoriedad en la asignación a los grupos de experimentación y de estudio.</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Sesgos de Medición</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procedimientos:</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 xml:space="preserve">Ocasionalmente el grupo que presenta la variable dependiente resulta ser más interesante para el investigador que el grupo que participa como control. Por esta circunstancia, en el procedimiento de </w:t>
      </w:r>
      <w:proofErr w:type="spellStart"/>
      <w:r>
        <w:rPr>
          <w:rFonts w:ascii="Arial" w:hAnsi="Arial" w:cs="Arial"/>
          <w:sz w:val="32"/>
          <w:szCs w:val="32"/>
          <w:lang w:val="es-ES"/>
        </w:rPr>
        <w:t>encuestaje</w:t>
      </w:r>
      <w:proofErr w:type="spellEnd"/>
      <w:r>
        <w:rPr>
          <w:rFonts w:ascii="Arial" w:hAnsi="Arial" w:cs="Arial"/>
          <w:sz w:val="32"/>
          <w:szCs w:val="32"/>
          <w:lang w:val="es-ES"/>
        </w:rPr>
        <w:t>, estos sujetos pueden concitar mayor preocupación e interés por conseguir la información. En el caso de un estudio en el que exista intervención, el sujeto del grupo experimental puede verse beneficiado con una mayor acuciosidad en la observación.</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memoria (</w:t>
      </w:r>
      <w:proofErr w:type="spellStart"/>
      <w:r>
        <w:rPr>
          <w:rFonts w:ascii="Arial" w:hAnsi="Arial" w:cs="Arial"/>
          <w:sz w:val="32"/>
          <w:szCs w:val="32"/>
          <w:lang w:val="es-ES"/>
        </w:rPr>
        <w:t>recall</w:t>
      </w:r>
      <w:proofErr w:type="spellEnd"/>
      <w:r>
        <w:rPr>
          <w:rFonts w:ascii="Arial" w:hAnsi="Arial" w:cs="Arial"/>
          <w:sz w:val="32"/>
          <w:szCs w:val="32"/>
          <w:lang w:val="es-ES"/>
        </w:rPr>
        <w:t xml:space="preserve"> </w:t>
      </w:r>
      <w:proofErr w:type="spellStart"/>
      <w:r>
        <w:rPr>
          <w:rFonts w:ascii="Arial" w:hAnsi="Arial" w:cs="Arial"/>
          <w:sz w:val="32"/>
          <w:szCs w:val="32"/>
          <w:lang w:val="es-ES"/>
        </w:rPr>
        <w:t>biass</w:t>
      </w:r>
      <w:proofErr w:type="spellEnd"/>
      <w:r>
        <w:rPr>
          <w:rFonts w:ascii="Arial" w:hAnsi="Arial" w:cs="Arial"/>
          <w:sz w:val="32"/>
          <w:szCs w:val="32"/>
          <w:lang w:val="es-ES"/>
        </w:rPr>
        <w:t>)</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por falta de sensibilidad de un instrumento.</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Si no se cuenta con adecuados métodos de recolección de la información, es posible que la sensibilidad de los instrumentos empleados en tales mediciones carezca de la sensibilidad necesaria para poder detectar la presencia de la variable en estudio. Como</w:t>
      </w:r>
      <w:r>
        <w:rPr>
          <w:rFonts w:ascii="Arial" w:hAnsi="Arial" w:cs="Arial"/>
          <w:sz w:val="32"/>
          <w:szCs w:val="32"/>
          <w:lang w:val="es-ES"/>
        </w:rPr>
        <w:t xml:space="preserve"> </w:t>
      </w:r>
      <w:r>
        <w:rPr>
          <w:rFonts w:ascii="Arial" w:hAnsi="Arial" w:cs="Arial"/>
          <w:sz w:val="32"/>
          <w:szCs w:val="32"/>
          <w:lang w:val="es-ES"/>
        </w:rPr>
        <w:t>consecuencia de ello, la frecuencia de tal variable puede tener órdenes de magnitud inferiores a la real.</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detección</w:t>
      </w:r>
      <w:bookmarkStart w:id="0" w:name="_GoBack"/>
      <w:bookmarkEnd w:id="0"/>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Pr>
          <w:rFonts w:ascii="Arial" w:hAnsi="Arial" w:cs="Arial"/>
          <w:sz w:val="32"/>
          <w:szCs w:val="32"/>
          <w:lang w:val="es-ES"/>
        </w:rPr>
        <w:t>etapificación</w:t>
      </w:r>
      <w:proofErr w:type="spellEnd"/>
      <w:r>
        <w:rPr>
          <w:rFonts w:ascii="Arial" w:hAnsi="Arial" w:cs="Arial"/>
          <w:sz w:val="32"/>
          <w:szCs w:val="32"/>
          <w:lang w:val="es-ES"/>
        </w:rPr>
        <w:t xml:space="preserve"> de individuos, con el consiguiente cambio en el pronóstico, si fuera ésta la medida analizada.</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Sesgo de adaptación (</w:t>
      </w:r>
      <w:proofErr w:type="spellStart"/>
      <w:r>
        <w:rPr>
          <w:rFonts w:ascii="Arial" w:hAnsi="Arial" w:cs="Arial"/>
          <w:sz w:val="32"/>
          <w:szCs w:val="32"/>
          <w:lang w:val="es-ES"/>
        </w:rPr>
        <w:t>compliance</w:t>
      </w:r>
      <w:proofErr w:type="spellEnd"/>
      <w:r>
        <w:rPr>
          <w:rFonts w:ascii="Arial" w:hAnsi="Arial" w:cs="Arial"/>
          <w:sz w:val="32"/>
          <w:szCs w:val="32"/>
          <w:lang w:val="es-ES"/>
        </w:rPr>
        <w:t>).</w:t>
      </w:r>
    </w:p>
    <w:p w:rsidR="007B2E51" w:rsidRDefault="007B2E51" w:rsidP="007B2E51">
      <w:pPr>
        <w:widowControl w:val="0"/>
        <w:autoSpaceDE w:val="0"/>
        <w:autoSpaceDN w:val="0"/>
        <w:adjustRightInd w:val="0"/>
        <w:spacing w:after="240"/>
        <w:jc w:val="both"/>
        <w:rPr>
          <w:rFonts w:ascii="Times" w:hAnsi="Times" w:cs="Times"/>
          <w:lang w:val="es-ES"/>
        </w:rPr>
      </w:pPr>
      <w:r>
        <w:rPr>
          <w:rFonts w:ascii="Arial" w:hAnsi="Arial" w:cs="Arial"/>
          <w:sz w:val="32"/>
          <w:szCs w:val="32"/>
          <w:lang w:val="es-ES"/>
        </w:rPr>
        <w:t>Se produce especialmente en estudios de intervención (experimentales o cuasi- 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7B2E51" w:rsidRDefault="007B2E51" w:rsidP="007B2E51">
      <w:pPr>
        <w:widowControl w:val="0"/>
        <w:autoSpaceDE w:val="0"/>
        <w:autoSpaceDN w:val="0"/>
        <w:adjustRightInd w:val="0"/>
        <w:spacing w:after="240"/>
        <w:rPr>
          <w:rFonts w:ascii="Times" w:hAnsi="Times" w:cs="Times"/>
          <w:lang w:val="es-ES"/>
        </w:rPr>
      </w:pPr>
    </w:p>
    <w:p w:rsidR="007B2E51" w:rsidRDefault="007B2E51" w:rsidP="0055738A">
      <w:pPr>
        <w:widowControl w:val="0"/>
        <w:autoSpaceDE w:val="0"/>
        <w:autoSpaceDN w:val="0"/>
        <w:adjustRightInd w:val="0"/>
        <w:spacing w:after="240"/>
        <w:rPr>
          <w:rFonts w:ascii="Times" w:hAnsi="Times" w:cs="Times"/>
          <w:lang w:val="es-ES"/>
        </w:rPr>
      </w:pPr>
    </w:p>
    <w:p w:rsidR="0055738A" w:rsidRDefault="0055738A" w:rsidP="0055738A">
      <w:pPr>
        <w:widowControl w:val="0"/>
        <w:autoSpaceDE w:val="0"/>
        <w:autoSpaceDN w:val="0"/>
        <w:adjustRightInd w:val="0"/>
        <w:spacing w:after="240"/>
        <w:rPr>
          <w:rFonts w:ascii="Times" w:hAnsi="Times" w:cs="Times"/>
          <w:lang w:val="es-ES"/>
        </w:rPr>
      </w:pPr>
    </w:p>
    <w:p w:rsidR="00104EEC" w:rsidRDefault="00104EEC"/>
    <w:sectPr w:rsidR="00104EEC" w:rsidSect="0055738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8A"/>
    <w:rsid w:val="00104EEC"/>
    <w:rsid w:val="0055738A"/>
    <w:rsid w:val="00721D12"/>
    <w:rsid w:val="007B2E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A0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1008</Words>
  <Characters>5547</Characters>
  <Application>Microsoft Macintosh Word</Application>
  <DocSecurity>0</DocSecurity>
  <Lines>46</Lines>
  <Paragraphs>13</Paragraphs>
  <ScaleCrop>false</ScaleCrop>
  <Company>personal</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Villalvazo Caro</dc:creator>
  <cp:keywords/>
  <dc:description/>
  <cp:lastModifiedBy>Mirna Villalvazo Caro</cp:lastModifiedBy>
  <cp:revision>1</cp:revision>
  <dcterms:created xsi:type="dcterms:W3CDTF">2014-05-10T04:02:00Z</dcterms:created>
  <dcterms:modified xsi:type="dcterms:W3CDTF">2014-05-10T04:28:00Z</dcterms:modified>
</cp:coreProperties>
</file>