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41" w:rightFromText="141" w:vertAnchor="text" w:horzAnchor="margin" w:tblpXSpec="center" w:tblpY="794"/>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2083"/>
        <w:gridCol w:w="2083"/>
        <w:gridCol w:w="2084"/>
        <w:gridCol w:w="2084"/>
      </w:tblGrid>
      <w:tr w:rsidR="002022DB" w:rsidRPr="00526958" w:rsidTr="00491B09">
        <w:tc>
          <w:tcPr>
            <w:tcW w:w="2083" w:type="dxa"/>
            <w:tcBorders>
              <w:top w:val="single" w:sz="4" w:space="0" w:color="FFFFFF"/>
              <w:left w:val="single" w:sz="4" w:space="0" w:color="FFFFFF"/>
              <w:right w:val="nil"/>
            </w:tcBorders>
            <w:shd w:val="clear" w:color="auto" w:fill="70AD47"/>
          </w:tcPr>
          <w:p w:rsidR="002022DB" w:rsidRPr="00526958" w:rsidRDefault="002022DB" w:rsidP="00491B09">
            <w:pPr>
              <w:jc w:val="center"/>
              <w:rPr>
                <w:rFonts w:ascii="Arial" w:hAnsi="Arial" w:cs="Arial"/>
                <w:b/>
                <w:bCs/>
                <w:color w:val="FFFFFF"/>
                <w:sz w:val="28"/>
              </w:rPr>
            </w:pPr>
          </w:p>
        </w:tc>
        <w:tc>
          <w:tcPr>
            <w:tcW w:w="2083" w:type="dxa"/>
            <w:tcBorders>
              <w:top w:val="single" w:sz="4" w:space="0" w:color="FFFFFF"/>
              <w:left w:val="nil"/>
              <w:right w:val="nil"/>
            </w:tcBorders>
            <w:shd w:val="clear" w:color="auto" w:fill="70AD47"/>
            <w:hideMark/>
          </w:tcPr>
          <w:p w:rsidR="002022DB" w:rsidRPr="00526958" w:rsidRDefault="002022DB" w:rsidP="00491B09">
            <w:pPr>
              <w:jc w:val="center"/>
              <w:rPr>
                <w:rFonts w:ascii="Arial" w:hAnsi="Arial" w:cs="Arial"/>
                <w:b/>
                <w:bCs/>
                <w:color w:val="FFFFFF"/>
                <w:sz w:val="28"/>
              </w:rPr>
            </w:pPr>
            <w:r w:rsidRPr="00526958">
              <w:rPr>
                <w:rFonts w:ascii="Arial" w:hAnsi="Arial" w:cs="Arial"/>
                <w:bCs/>
                <w:color w:val="FFFFFF"/>
                <w:sz w:val="28"/>
              </w:rPr>
              <w:t>Ticagrelor</w:t>
            </w:r>
          </w:p>
        </w:tc>
        <w:tc>
          <w:tcPr>
            <w:tcW w:w="2084" w:type="dxa"/>
            <w:tcBorders>
              <w:top w:val="single" w:sz="4" w:space="0" w:color="FFFFFF"/>
              <w:left w:val="nil"/>
              <w:right w:val="nil"/>
            </w:tcBorders>
            <w:shd w:val="clear" w:color="auto" w:fill="70AD47"/>
            <w:hideMark/>
          </w:tcPr>
          <w:p w:rsidR="002022DB" w:rsidRPr="00526958" w:rsidRDefault="002022DB" w:rsidP="00491B09">
            <w:pPr>
              <w:jc w:val="center"/>
              <w:rPr>
                <w:rFonts w:ascii="Arial" w:hAnsi="Arial" w:cs="Arial"/>
                <w:b/>
                <w:bCs/>
                <w:color w:val="FFFFFF"/>
                <w:sz w:val="28"/>
              </w:rPr>
            </w:pPr>
            <w:r w:rsidRPr="00526958">
              <w:rPr>
                <w:rFonts w:ascii="Arial" w:hAnsi="Arial" w:cs="Arial"/>
                <w:bCs/>
                <w:color w:val="FFFFFF"/>
                <w:sz w:val="28"/>
              </w:rPr>
              <w:t>Copidogrel</w:t>
            </w:r>
          </w:p>
        </w:tc>
        <w:tc>
          <w:tcPr>
            <w:tcW w:w="2084" w:type="dxa"/>
            <w:tcBorders>
              <w:top w:val="single" w:sz="4" w:space="0" w:color="FFFFFF"/>
              <w:left w:val="nil"/>
              <w:right w:val="single" w:sz="4" w:space="0" w:color="FFFFFF"/>
            </w:tcBorders>
            <w:shd w:val="clear" w:color="auto" w:fill="70AD47"/>
            <w:hideMark/>
          </w:tcPr>
          <w:p w:rsidR="002022DB" w:rsidRPr="00526958" w:rsidRDefault="002022DB" w:rsidP="00491B09">
            <w:pPr>
              <w:jc w:val="center"/>
              <w:rPr>
                <w:rFonts w:ascii="Arial" w:hAnsi="Arial" w:cs="Arial"/>
                <w:b/>
                <w:bCs/>
                <w:color w:val="FFFFFF"/>
                <w:sz w:val="28"/>
              </w:rPr>
            </w:pPr>
            <w:r w:rsidRPr="00526958">
              <w:rPr>
                <w:rFonts w:ascii="Arial" w:hAnsi="Arial" w:cs="Arial"/>
                <w:bCs/>
                <w:color w:val="FFFFFF"/>
                <w:sz w:val="28"/>
              </w:rPr>
              <w:t>Total</w:t>
            </w:r>
          </w:p>
        </w:tc>
      </w:tr>
      <w:tr w:rsidR="002022DB" w:rsidRPr="00526958" w:rsidTr="00491B09">
        <w:tc>
          <w:tcPr>
            <w:tcW w:w="2083" w:type="dxa"/>
            <w:tcBorders>
              <w:top w:val="single" w:sz="4" w:space="0" w:color="FFFFFF"/>
              <w:left w:val="single" w:sz="4" w:space="0" w:color="FFFFFF"/>
            </w:tcBorders>
            <w:shd w:val="clear" w:color="auto" w:fill="70AD47"/>
            <w:hideMark/>
          </w:tcPr>
          <w:p w:rsidR="002022DB" w:rsidRPr="00526958" w:rsidRDefault="002022DB" w:rsidP="00491B09">
            <w:pPr>
              <w:jc w:val="center"/>
              <w:rPr>
                <w:rFonts w:ascii="Arial" w:hAnsi="Arial" w:cs="Arial"/>
                <w:b/>
                <w:bCs/>
                <w:color w:val="FFFFFF"/>
                <w:sz w:val="28"/>
              </w:rPr>
            </w:pPr>
            <w:r w:rsidRPr="00526958">
              <w:rPr>
                <w:rFonts w:ascii="Arial" w:hAnsi="Arial" w:cs="Arial"/>
                <w:bCs/>
                <w:color w:val="FFFFFF"/>
                <w:sz w:val="28"/>
              </w:rPr>
              <w:t>Muertes por causas vasculares</w:t>
            </w:r>
          </w:p>
          <w:p w:rsidR="002022DB" w:rsidRPr="00526958" w:rsidRDefault="002022DB" w:rsidP="00491B09">
            <w:pPr>
              <w:jc w:val="center"/>
              <w:rPr>
                <w:rFonts w:ascii="Arial" w:hAnsi="Arial" w:cs="Arial"/>
                <w:b/>
                <w:bCs/>
                <w:color w:val="FFFFFF"/>
                <w:sz w:val="28"/>
              </w:rPr>
            </w:pPr>
            <w:r w:rsidRPr="00526958">
              <w:rPr>
                <w:rFonts w:ascii="Arial" w:hAnsi="Arial" w:cs="Arial"/>
                <w:bCs/>
                <w:color w:val="FFFFFF"/>
                <w:sz w:val="28"/>
              </w:rPr>
              <w:t>(+)</w:t>
            </w:r>
          </w:p>
        </w:tc>
        <w:tc>
          <w:tcPr>
            <w:tcW w:w="2083" w:type="dxa"/>
            <w:shd w:val="clear" w:color="auto" w:fill="C5E0B3"/>
            <w:hideMark/>
          </w:tcPr>
          <w:p w:rsidR="002022DB" w:rsidRPr="00526958" w:rsidRDefault="002022DB" w:rsidP="00491B09">
            <w:pPr>
              <w:jc w:val="center"/>
              <w:rPr>
                <w:rFonts w:ascii="Arial" w:hAnsi="Arial" w:cs="Arial"/>
                <w:b/>
                <w:sz w:val="28"/>
              </w:rPr>
            </w:pPr>
            <w:r w:rsidRPr="00526958">
              <w:rPr>
                <w:rFonts w:ascii="Arial" w:hAnsi="Arial" w:cs="Arial"/>
                <w:b/>
                <w:color w:val="FF0000"/>
                <w:sz w:val="28"/>
              </w:rPr>
              <w:t xml:space="preserve">A </w:t>
            </w:r>
            <w:r w:rsidRPr="00526958">
              <w:rPr>
                <w:rFonts w:ascii="Arial" w:hAnsi="Arial" w:cs="Arial"/>
                <w:b/>
                <w:sz w:val="28"/>
              </w:rPr>
              <w:t xml:space="preserve">  1290</w:t>
            </w:r>
          </w:p>
        </w:tc>
        <w:tc>
          <w:tcPr>
            <w:tcW w:w="2084" w:type="dxa"/>
            <w:shd w:val="clear" w:color="auto" w:fill="C5E0B3"/>
            <w:hideMark/>
          </w:tcPr>
          <w:p w:rsidR="002022DB" w:rsidRPr="00526958" w:rsidRDefault="002022DB" w:rsidP="00491B09">
            <w:pPr>
              <w:jc w:val="center"/>
              <w:rPr>
                <w:rFonts w:ascii="Arial" w:hAnsi="Arial" w:cs="Arial"/>
                <w:b/>
                <w:sz w:val="28"/>
              </w:rPr>
            </w:pPr>
            <w:r w:rsidRPr="00526958">
              <w:rPr>
                <w:rFonts w:ascii="Arial" w:hAnsi="Arial" w:cs="Arial"/>
                <w:b/>
                <w:color w:val="FF0000"/>
                <w:sz w:val="28"/>
              </w:rPr>
              <w:t>B</w:t>
            </w:r>
            <w:r w:rsidRPr="00526958">
              <w:rPr>
                <w:rFonts w:ascii="Arial" w:hAnsi="Arial" w:cs="Arial"/>
                <w:b/>
                <w:sz w:val="28"/>
              </w:rPr>
              <w:t xml:space="preserve">      1456</w:t>
            </w:r>
          </w:p>
        </w:tc>
        <w:tc>
          <w:tcPr>
            <w:tcW w:w="2084" w:type="dxa"/>
            <w:shd w:val="clear" w:color="auto" w:fill="C5E0B3"/>
            <w:hideMark/>
          </w:tcPr>
          <w:p w:rsidR="002022DB" w:rsidRPr="00526958" w:rsidRDefault="002022DB" w:rsidP="00491B09">
            <w:pPr>
              <w:jc w:val="center"/>
              <w:rPr>
                <w:rFonts w:ascii="Arial" w:hAnsi="Arial" w:cs="Arial"/>
                <w:b/>
                <w:sz w:val="28"/>
              </w:rPr>
            </w:pPr>
            <w:r w:rsidRPr="00526958">
              <w:rPr>
                <w:rFonts w:ascii="Arial" w:hAnsi="Arial" w:cs="Arial"/>
                <w:b/>
                <w:sz w:val="28"/>
              </w:rPr>
              <w:t>2746</w:t>
            </w:r>
          </w:p>
        </w:tc>
      </w:tr>
      <w:tr w:rsidR="002022DB" w:rsidRPr="00526958" w:rsidTr="00491B09">
        <w:tc>
          <w:tcPr>
            <w:tcW w:w="2083" w:type="dxa"/>
            <w:tcBorders>
              <w:left w:val="single" w:sz="4" w:space="0" w:color="FFFFFF"/>
            </w:tcBorders>
            <w:shd w:val="clear" w:color="auto" w:fill="70AD47"/>
            <w:hideMark/>
          </w:tcPr>
          <w:p w:rsidR="002022DB" w:rsidRPr="00526958" w:rsidRDefault="002022DB" w:rsidP="00491B09">
            <w:pPr>
              <w:jc w:val="center"/>
              <w:rPr>
                <w:rFonts w:ascii="Arial" w:hAnsi="Arial" w:cs="Arial"/>
                <w:b/>
                <w:bCs/>
                <w:color w:val="FFFFFF"/>
                <w:sz w:val="28"/>
              </w:rPr>
            </w:pPr>
            <w:r w:rsidRPr="00526958">
              <w:rPr>
                <w:rFonts w:ascii="Arial" w:hAnsi="Arial" w:cs="Arial"/>
                <w:bCs/>
                <w:color w:val="FFFFFF"/>
                <w:sz w:val="28"/>
              </w:rPr>
              <w:t>Muerte por causas vasculares</w:t>
            </w:r>
          </w:p>
          <w:p w:rsidR="002022DB" w:rsidRPr="00526958" w:rsidRDefault="002022DB" w:rsidP="00491B09">
            <w:pPr>
              <w:jc w:val="center"/>
              <w:rPr>
                <w:rFonts w:ascii="Arial" w:hAnsi="Arial" w:cs="Arial"/>
                <w:b/>
                <w:bCs/>
                <w:color w:val="FFFFFF"/>
                <w:sz w:val="28"/>
              </w:rPr>
            </w:pPr>
            <w:r w:rsidRPr="00526958">
              <w:rPr>
                <w:rFonts w:ascii="Arial" w:hAnsi="Arial" w:cs="Arial"/>
                <w:bCs/>
                <w:color w:val="FFFFFF"/>
                <w:sz w:val="28"/>
              </w:rPr>
              <w:t>(-)</w:t>
            </w:r>
          </w:p>
        </w:tc>
        <w:tc>
          <w:tcPr>
            <w:tcW w:w="2083" w:type="dxa"/>
            <w:shd w:val="clear" w:color="auto" w:fill="E2EFD9"/>
            <w:hideMark/>
          </w:tcPr>
          <w:p w:rsidR="002022DB" w:rsidRPr="00526958" w:rsidRDefault="002022DB" w:rsidP="00491B09">
            <w:pPr>
              <w:jc w:val="center"/>
              <w:rPr>
                <w:rFonts w:ascii="Arial" w:hAnsi="Arial" w:cs="Arial"/>
                <w:b/>
                <w:sz w:val="28"/>
              </w:rPr>
            </w:pPr>
            <w:r w:rsidRPr="00526958">
              <w:rPr>
                <w:rFonts w:ascii="Arial" w:hAnsi="Arial" w:cs="Arial"/>
                <w:b/>
                <w:color w:val="FF0000"/>
                <w:sz w:val="28"/>
              </w:rPr>
              <w:t xml:space="preserve">C </w:t>
            </w:r>
            <w:r w:rsidRPr="00526958">
              <w:rPr>
                <w:rFonts w:ascii="Arial" w:hAnsi="Arial" w:cs="Arial"/>
                <w:b/>
                <w:sz w:val="28"/>
              </w:rPr>
              <w:t xml:space="preserve">  8043</w:t>
            </w:r>
          </w:p>
        </w:tc>
        <w:tc>
          <w:tcPr>
            <w:tcW w:w="2084" w:type="dxa"/>
            <w:shd w:val="clear" w:color="auto" w:fill="E2EFD9"/>
            <w:hideMark/>
          </w:tcPr>
          <w:p w:rsidR="002022DB" w:rsidRPr="00526958" w:rsidRDefault="002022DB" w:rsidP="00491B09">
            <w:pPr>
              <w:jc w:val="center"/>
              <w:rPr>
                <w:rFonts w:ascii="Arial" w:hAnsi="Arial" w:cs="Arial"/>
                <w:b/>
                <w:sz w:val="28"/>
              </w:rPr>
            </w:pPr>
            <w:r w:rsidRPr="00526958">
              <w:rPr>
                <w:rFonts w:ascii="Arial" w:hAnsi="Arial" w:cs="Arial"/>
                <w:b/>
                <w:color w:val="FF0000"/>
                <w:sz w:val="28"/>
              </w:rPr>
              <w:t>D</w:t>
            </w:r>
            <w:r w:rsidRPr="00526958">
              <w:rPr>
                <w:rFonts w:ascii="Arial" w:hAnsi="Arial" w:cs="Arial"/>
                <w:b/>
                <w:sz w:val="28"/>
              </w:rPr>
              <w:t xml:space="preserve">   7835</w:t>
            </w:r>
          </w:p>
        </w:tc>
        <w:tc>
          <w:tcPr>
            <w:tcW w:w="2084" w:type="dxa"/>
            <w:shd w:val="clear" w:color="auto" w:fill="E2EFD9"/>
            <w:hideMark/>
          </w:tcPr>
          <w:p w:rsidR="002022DB" w:rsidRPr="00526958" w:rsidRDefault="002022DB" w:rsidP="00491B09">
            <w:pPr>
              <w:jc w:val="center"/>
              <w:rPr>
                <w:rFonts w:ascii="Arial" w:hAnsi="Arial" w:cs="Arial"/>
                <w:b/>
                <w:sz w:val="28"/>
              </w:rPr>
            </w:pPr>
            <w:r w:rsidRPr="00526958">
              <w:rPr>
                <w:rFonts w:ascii="Arial" w:hAnsi="Arial" w:cs="Arial"/>
                <w:b/>
                <w:sz w:val="28"/>
              </w:rPr>
              <w:t>15878</w:t>
            </w:r>
          </w:p>
        </w:tc>
      </w:tr>
      <w:tr w:rsidR="002022DB" w:rsidRPr="00526958" w:rsidTr="00491B09">
        <w:tc>
          <w:tcPr>
            <w:tcW w:w="2083" w:type="dxa"/>
            <w:tcBorders>
              <w:left w:val="single" w:sz="4" w:space="0" w:color="FFFFFF"/>
              <w:bottom w:val="single" w:sz="4" w:space="0" w:color="FFFFFF"/>
            </w:tcBorders>
            <w:shd w:val="clear" w:color="auto" w:fill="70AD47"/>
            <w:hideMark/>
          </w:tcPr>
          <w:p w:rsidR="002022DB" w:rsidRPr="00526958" w:rsidRDefault="002022DB" w:rsidP="00491B09">
            <w:pPr>
              <w:jc w:val="center"/>
              <w:rPr>
                <w:rFonts w:ascii="Arial" w:hAnsi="Arial" w:cs="Arial"/>
                <w:b/>
                <w:bCs/>
                <w:color w:val="FFFFFF"/>
                <w:sz w:val="28"/>
              </w:rPr>
            </w:pPr>
            <w:r w:rsidRPr="00526958">
              <w:rPr>
                <w:rFonts w:ascii="Arial" w:hAnsi="Arial" w:cs="Arial"/>
                <w:bCs/>
                <w:color w:val="FFFFFF"/>
                <w:sz w:val="28"/>
              </w:rPr>
              <w:t>Total</w:t>
            </w:r>
          </w:p>
        </w:tc>
        <w:tc>
          <w:tcPr>
            <w:tcW w:w="2083" w:type="dxa"/>
            <w:shd w:val="clear" w:color="auto" w:fill="C5E0B3"/>
            <w:hideMark/>
          </w:tcPr>
          <w:p w:rsidR="002022DB" w:rsidRPr="00526958" w:rsidRDefault="002022DB" w:rsidP="00491B09">
            <w:pPr>
              <w:jc w:val="center"/>
              <w:rPr>
                <w:rFonts w:ascii="Arial" w:hAnsi="Arial" w:cs="Arial"/>
                <w:b/>
                <w:sz w:val="28"/>
              </w:rPr>
            </w:pPr>
            <w:r w:rsidRPr="00526958">
              <w:rPr>
                <w:rFonts w:ascii="Arial" w:hAnsi="Arial" w:cs="Arial"/>
                <w:b/>
                <w:sz w:val="28"/>
              </w:rPr>
              <w:t>9333</w:t>
            </w:r>
          </w:p>
        </w:tc>
        <w:tc>
          <w:tcPr>
            <w:tcW w:w="2084" w:type="dxa"/>
            <w:shd w:val="clear" w:color="auto" w:fill="C5E0B3"/>
            <w:hideMark/>
          </w:tcPr>
          <w:p w:rsidR="002022DB" w:rsidRPr="00526958" w:rsidRDefault="002022DB" w:rsidP="00491B09">
            <w:pPr>
              <w:jc w:val="center"/>
              <w:rPr>
                <w:rFonts w:ascii="Arial" w:hAnsi="Arial" w:cs="Arial"/>
                <w:b/>
                <w:sz w:val="28"/>
              </w:rPr>
            </w:pPr>
            <w:r w:rsidRPr="00526958">
              <w:rPr>
                <w:rFonts w:ascii="Arial" w:hAnsi="Arial" w:cs="Arial"/>
                <w:b/>
                <w:sz w:val="28"/>
              </w:rPr>
              <w:t>9241</w:t>
            </w:r>
          </w:p>
        </w:tc>
        <w:tc>
          <w:tcPr>
            <w:tcW w:w="2084" w:type="dxa"/>
            <w:shd w:val="clear" w:color="auto" w:fill="C5E0B3"/>
            <w:hideMark/>
          </w:tcPr>
          <w:p w:rsidR="002022DB" w:rsidRPr="00526958" w:rsidRDefault="002022DB" w:rsidP="00491B09">
            <w:pPr>
              <w:jc w:val="center"/>
              <w:rPr>
                <w:rFonts w:ascii="Arial" w:hAnsi="Arial" w:cs="Arial"/>
                <w:b/>
                <w:sz w:val="28"/>
              </w:rPr>
            </w:pPr>
            <w:r w:rsidRPr="00526958">
              <w:rPr>
                <w:rFonts w:ascii="Arial" w:hAnsi="Arial" w:cs="Arial"/>
                <w:b/>
                <w:sz w:val="28"/>
              </w:rPr>
              <w:t>18624</w:t>
            </w:r>
          </w:p>
        </w:tc>
      </w:tr>
    </w:tbl>
    <w:p w:rsidR="00FA13EA" w:rsidRDefault="00491B09" w:rsidP="006947AA">
      <w:pPr>
        <w:jc w:val="both"/>
        <w:rPr>
          <w:rFonts w:ascii="Arial" w:hAnsi="Arial" w:cs="Arial"/>
          <w:sz w:val="32"/>
        </w:rPr>
      </w:pPr>
      <w:r>
        <w:rPr>
          <w:rFonts w:ascii="Arial" w:hAnsi="Arial" w:cs="Arial"/>
          <w:sz w:val="32"/>
        </w:rPr>
        <w:t xml:space="preserve">Méndez Chávez Ana Laura. </w:t>
      </w:r>
    </w:p>
    <w:p w:rsidR="00491B09" w:rsidRPr="00BB719E" w:rsidRDefault="00491B09" w:rsidP="006947AA">
      <w:pPr>
        <w:jc w:val="both"/>
        <w:rPr>
          <w:rFonts w:ascii="Arial" w:hAnsi="Arial" w:cs="Arial"/>
          <w:sz w:val="32"/>
        </w:rPr>
      </w:pPr>
    </w:p>
    <w:p w:rsidR="00FA13EA" w:rsidRDefault="00FA13EA" w:rsidP="006947AA">
      <w:pPr>
        <w:jc w:val="both"/>
        <w:rPr>
          <w:rFonts w:ascii="Arial" w:hAnsi="Arial" w:cs="Arial"/>
        </w:rPr>
      </w:pPr>
    </w:p>
    <w:p w:rsidR="00FA13EA" w:rsidRDefault="00FA13EA" w:rsidP="006947AA">
      <w:pPr>
        <w:jc w:val="both"/>
        <w:rPr>
          <w:rFonts w:ascii="Arial" w:hAnsi="Arial" w:cs="Arial"/>
        </w:rPr>
      </w:pPr>
    </w:p>
    <w:p w:rsidR="00FA13EA" w:rsidRDefault="00FA13EA" w:rsidP="006947AA">
      <w:pPr>
        <w:jc w:val="both"/>
        <w:rPr>
          <w:rFonts w:ascii="Arial" w:hAnsi="Arial" w:cs="Arial"/>
        </w:rPr>
      </w:pPr>
    </w:p>
    <w:p w:rsidR="00FA13EA" w:rsidRDefault="00FA13EA" w:rsidP="006947AA">
      <w:pPr>
        <w:jc w:val="both"/>
        <w:rPr>
          <w:rFonts w:ascii="Arial" w:hAnsi="Arial" w:cs="Arial"/>
        </w:rPr>
      </w:pPr>
    </w:p>
    <w:p w:rsidR="00FA13EA" w:rsidRDefault="00FA13EA" w:rsidP="006947AA">
      <w:pPr>
        <w:jc w:val="both"/>
        <w:rPr>
          <w:rFonts w:ascii="Arial" w:hAnsi="Arial" w:cs="Arial"/>
        </w:rPr>
      </w:pPr>
    </w:p>
    <w:p w:rsidR="00FA13EA" w:rsidRDefault="00FA13EA" w:rsidP="006947AA">
      <w:pPr>
        <w:jc w:val="both"/>
        <w:rPr>
          <w:rFonts w:ascii="Arial" w:hAnsi="Arial" w:cs="Arial"/>
        </w:rPr>
      </w:pPr>
    </w:p>
    <w:p w:rsidR="00FA13EA" w:rsidRDefault="00FA13EA" w:rsidP="006947AA">
      <w:pPr>
        <w:jc w:val="both"/>
        <w:rPr>
          <w:rFonts w:ascii="Arial" w:hAnsi="Arial" w:cs="Arial"/>
        </w:rPr>
      </w:pPr>
    </w:p>
    <w:p w:rsidR="005D440C" w:rsidRPr="005D440C" w:rsidRDefault="005D440C" w:rsidP="005D440C">
      <w:pPr>
        <w:rPr>
          <w:rFonts w:ascii="Arial" w:hAnsi="Arial" w:cs="Arial"/>
          <w:sz w:val="28"/>
        </w:rPr>
      </w:pPr>
    </w:p>
    <w:p w:rsidR="005D440C" w:rsidRDefault="005D440C" w:rsidP="005D440C">
      <w:pPr>
        <w:rPr>
          <w:rFonts w:ascii="Arial" w:hAnsi="Arial" w:cs="Arial"/>
          <w:sz w:val="28"/>
        </w:rPr>
      </w:pPr>
    </w:p>
    <w:p w:rsidR="00491B09" w:rsidRDefault="00491B09" w:rsidP="005D440C">
      <w:pPr>
        <w:rPr>
          <w:rFonts w:ascii="Arial" w:hAnsi="Arial" w:cs="Arial"/>
          <w:sz w:val="28"/>
        </w:rPr>
      </w:pPr>
    </w:p>
    <w:p w:rsidR="00491B09" w:rsidRDefault="00491B09" w:rsidP="005D440C">
      <w:pPr>
        <w:rPr>
          <w:rFonts w:ascii="Arial" w:hAnsi="Arial" w:cs="Arial"/>
          <w:sz w:val="28"/>
        </w:rPr>
      </w:pPr>
    </w:p>
    <w:p w:rsidR="00491B09" w:rsidRDefault="00491B09" w:rsidP="005D440C">
      <w:pPr>
        <w:rPr>
          <w:rFonts w:ascii="Arial" w:hAnsi="Arial" w:cs="Arial"/>
          <w:sz w:val="28"/>
        </w:rPr>
      </w:pPr>
    </w:p>
    <w:p w:rsidR="00491B09" w:rsidRPr="005D440C" w:rsidRDefault="00491B09" w:rsidP="005D440C">
      <w:pPr>
        <w:rPr>
          <w:rFonts w:ascii="Arial" w:hAnsi="Arial" w:cs="Arial"/>
          <w:sz w:val="28"/>
        </w:rPr>
      </w:pPr>
    </w:p>
    <w:p w:rsidR="005D440C" w:rsidRPr="005D440C" w:rsidRDefault="005D440C" w:rsidP="005D440C">
      <w:pPr>
        <w:pStyle w:val="Prrafodelista"/>
        <w:numPr>
          <w:ilvl w:val="0"/>
          <w:numId w:val="5"/>
        </w:numPr>
        <w:jc w:val="both"/>
        <w:rPr>
          <w:rFonts w:ascii="Arial" w:hAnsi="Arial" w:cs="Arial"/>
          <w:b/>
          <w:sz w:val="28"/>
        </w:rPr>
      </w:pPr>
      <w:r w:rsidRPr="005D440C">
        <w:rPr>
          <w:rFonts w:ascii="Arial" w:hAnsi="Arial" w:cs="Arial"/>
          <w:b/>
          <w:sz w:val="28"/>
        </w:rPr>
        <w:t>Incidencia acumulada de expuestos CIE     a/a+b</w:t>
      </w:r>
    </w:p>
    <w:p w:rsidR="005D440C" w:rsidRPr="005D440C" w:rsidRDefault="005D440C" w:rsidP="005D440C">
      <w:pPr>
        <w:pStyle w:val="Sinespaciado"/>
        <w:rPr>
          <w:rFonts w:ascii="Arial" w:hAnsi="Arial" w:cs="Arial"/>
          <w:sz w:val="28"/>
          <w:szCs w:val="24"/>
        </w:rPr>
      </w:pPr>
      <w:r w:rsidRPr="005D440C">
        <w:rPr>
          <w:rFonts w:ascii="Arial" w:hAnsi="Arial" w:cs="Arial"/>
          <w:sz w:val="28"/>
          <w:szCs w:val="24"/>
        </w:rPr>
        <w:t>1290/(1290+1456)</w:t>
      </w:r>
    </w:p>
    <w:p w:rsidR="005D440C" w:rsidRPr="005D440C" w:rsidRDefault="005D440C" w:rsidP="005D440C">
      <w:pPr>
        <w:pStyle w:val="Sinespaciado"/>
        <w:rPr>
          <w:rFonts w:ascii="Arial" w:hAnsi="Arial" w:cs="Arial"/>
          <w:sz w:val="28"/>
          <w:szCs w:val="24"/>
        </w:rPr>
      </w:pPr>
      <w:r w:rsidRPr="005D440C">
        <w:rPr>
          <w:rFonts w:ascii="Arial" w:hAnsi="Arial" w:cs="Arial"/>
          <w:sz w:val="28"/>
          <w:szCs w:val="24"/>
        </w:rPr>
        <w:t>1290/ 2746= 0.46</w:t>
      </w:r>
    </w:p>
    <w:p w:rsidR="005D440C" w:rsidRPr="005D440C" w:rsidRDefault="005D440C" w:rsidP="005D440C">
      <w:pPr>
        <w:pStyle w:val="Prrafodelista"/>
        <w:numPr>
          <w:ilvl w:val="0"/>
          <w:numId w:val="5"/>
        </w:numPr>
        <w:jc w:val="both"/>
        <w:rPr>
          <w:rFonts w:ascii="Arial" w:hAnsi="Arial" w:cs="Arial"/>
          <w:b/>
          <w:sz w:val="28"/>
        </w:rPr>
      </w:pPr>
      <w:r w:rsidRPr="005D440C">
        <w:rPr>
          <w:rFonts w:ascii="Arial" w:hAnsi="Arial" w:cs="Arial"/>
          <w:b/>
          <w:sz w:val="28"/>
        </w:rPr>
        <w:t>Incidencia acumulada de los No expuestos CIO   c/c+d</w:t>
      </w:r>
    </w:p>
    <w:p w:rsidR="005D440C" w:rsidRPr="005D440C" w:rsidRDefault="005D440C" w:rsidP="005D440C">
      <w:pPr>
        <w:pStyle w:val="Sinespaciado"/>
        <w:rPr>
          <w:rFonts w:ascii="Arial" w:hAnsi="Arial" w:cs="Arial"/>
          <w:sz w:val="28"/>
          <w:szCs w:val="24"/>
        </w:rPr>
      </w:pPr>
      <w:r w:rsidRPr="005D440C">
        <w:rPr>
          <w:rFonts w:ascii="Arial" w:hAnsi="Arial" w:cs="Arial"/>
          <w:sz w:val="28"/>
          <w:szCs w:val="24"/>
        </w:rPr>
        <w:t>8043/8043+7835</w:t>
      </w:r>
    </w:p>
    <w:p w:rsidR="005D440C" w:rsidRPr="005D440C" w:rsidRDefault="005D440C" w:rsidP="005D440C">
      <w:pPr>
        <w:pStyle w:val="Sinespaciado"/>
        <w:rPr>
          <w:rFonts w:ascii="Arial" w:hAnsi="Arial" w:cs="Arial"/>
          <w:sz w:val="28"/>
          <w:szCs w:val="24"/>
        </w:rPr>
      </w:pPr>
      <w:r w:rsidRPr="005D440C">
        <w:rPr>
          <w:rFonts w:ascii="Arial" w:hAnsi="Arial" w:cs="Arial"/>
          <w:sz w:val="28"/>
          <w:szCs w:val="24"/>
        </w:rPr>
        <w:t>8043/15878= .50</w:t>
      </w:r>
    </w:p>
    <w:p w:rsidR="005D440C" w:rsidRPr="005D440C" w:rsidRDefault="005D440C" w:rsidP="005D440C">
      <w:pPr>
        <w:pStyle w:val="Sinespaciado"/>
        <w:rPr>
          <w:rFonts w:ascii="Arial" w:hAnsi="Arial" w:cs="Arial"/>
          <w:sz w:val="28"/>
          <w:szCs w:val="24"/>
        </w:rPr>
      </w:pPr>
    </w:p>
    <w:p w:rsidR="005D440C" w:rsidRPr="005D440C" w:rsidRDefault="005D440C" w:rsidP="005D440C">
      <w:pPr>
        <w:pStyle w:val="Prrafodelista"/>
        <w:numPr>
          <w:ilvl w:val="0"/>
          <w:numId w:val="5"/>
        </w:numPr>
        <w:jc w:val="both"/>
        <w:rPr>
          <w:rFonts w:ascii="Arial" w:hAnsi="Arial" w:cs="Arial"/>
          <w:b/>
          <w:sz w:val="28"/>
        </w:rPr>
      </w:pPr>
      <w:r w:rsidRPr="005D440C">
        <w:rPr>
          <w:rFonts w:ascii="Arial" w:hAnsi="Arial" w:cs="Arial"/>
          <w:b/>
          <w:sz w:val="28"/>
        </w:rPr>
        <w:t>Riesgo Relativo CIE /CIO = (a/a+b)/(c/c+d)</w:t>
      </w:r>
    </w:p>
    <w:p w:rsidR="005D440C" w:rsidRPr="005D440C" w:rsidRDefault="005D440C" w:rsidP="005D440C">
      <w:pPr>
        <w:pStyle w:val="Sinespaciado"/>
        <w:rPr>
          <w:rFonts w:ascii="Arial" w:hAnsi="Arial" w:cs="Arial"/>
          <w:sz w:val="28"/>
          <w:szCs w:val="24"/>
        </w:rPr>
      </w:pPr>
      <w:r w:rsidRPr="005D440C">
        <w:rPr>
          <w:rFonts w:ascii="Arial" w:hAnsi="Arial" w:cs="Arial"/>
          <w:sz w:val="28"/>
          <w:szCs w:val="24"/>
        </w:rPr>
        <w:t>(1290/1290+1456) / (8043/8043+7835)</w:t>
      </w:r>
    </w:p>
    <w:p w:rsidR="005D440C" w:rsidRPr="005D440C" w:rsidRDefault="005D440C" w:rsidP="005D440C">
      <w:pPr>
        <w:pStyle w:val="Sinespaciado"/>
        <w:rPr>
          <w:rFonts w:ascii="Arial" w:hAnsi="Arial" w:cs="Arial"/>
          <w:sz w:val="28"/>
          <w:szCs w:val="24"/>
        </w:rPr>
      </w:pPr>
      <w:r w:rsidRPr="005D440C">
        <w:rPr>
          <w:rFonts w:ascii="Arial" w:hAnsi="Arial" w:cs="Arial"/>
          <w:sz w:val="28"/>
          <w:szCs w:val="24"/>
        </w:rPr>
        <w:t>(1290/2746) / (8043/15878)</w:t>
      </w:r>
    </w:p>
    <w:p w:rsidR="005D440C" w:rsidRPr="005D440C" w:rsidRDefault="005D440C" w:rsidP="005D440C">
      <w:pPr>
        <w:pStyle w:val="Sinespaciado"/>
        <w:rPr>
          <w:rFonts w:ascii="Arial" w:hAnsi="Arial" w:cs="Arial"/>
          <w:sz w:val="28"/>
          <w:szCs w:val="24"/>
        </w:rPr>
      </w:pPr>
      <w:r w:rsidRPr="005D440C">
        <w:rPr>
          <w:rFonts w:ascii="Arial" w:hAnsi="Arial" w:cs="Arial"/>
          <w:sz w:val="28"/>
          <w:szCs w:val="24"/>
        </w:rPr>
        <w:t xml:space="preserve">(.46) / (.50) = .92 </w:t>
      </w:r>
    </w:p>
    <w:p w:rsidR="005D440C" w:rsidRPr="005D440C" w:rsidRDefault="005D440C" w:rsidP="005D440C">
      <w:pPr>
        <w:pStyle w:val="Sinespaciado"/>
        <w:rPr>
          <w:rFonts w:ascii="Arial" w:hAnsi="Arial" w:cs="Arial"/>
          <w:sz w:val="28"/>
          <w:szCs w:val="24"/>
        </w:rPr>
      </w:pPr>
    </w:p>
    <w:p w:rsidR="005D440C" w:rsidRPr="005D440C" w:rsidRDefault="005D440C" w:rsidP="005D440C">
      <w:pPr>
        <w:pStyle w:val="Prrafodelista"/>
        <w:numPr>
          <w:ilvl w:val="0"/>
          <w:numId w:val="5"/>
        </w:numPr>
        <w:jc w:val="both"/>
        <w:rPr>
          <w:rFonts w:ascii="Arial" w:hAnsi="Arial" w:cs="Arial"/>
          <w:b/>
          <w:sz w:val="28"/>
        </w:rPr>
      </w:pPr>
      <w:r w:rsidRPr="005D440C">
        <w:rPr>
          <w:rFonts w:ascii="Arial" w:hAnsi="Arial" w:cs="Arial"/>
          <w:b/>
          <w:sz w:val="28"/>
        </w:rPr>
        <w:t>Riesgo Atribuible  RA = IE- IO</w:t>
      </w:r>
    </w:p>
    <w:p w:rsidR="005D440C" w:rsidRPr="005D440C" w:rsidRDefault="005D440C" w:rsidP="005D440C">
      <w:pPr>
        <w:jc w:val="both"/>
        <w:rPr>
          <w:rFonts w:ascii="Arial" w:hAnsi="Arial" w:cs="Arial"/>
          <w:sz w:val="28"/>
        </w:rPr>
      </w:pPr>
      <w:r w:rsidRPr="005D440C">
        <w:rPr>
          <w:rFonts w:ascii="Arial" w:hAnsi="Arial" w:cs="Arial"/>
          <w:sz w:val="28"/>
        </w:rPr>
        <w:t>0.46 - .50 = -.04</w:t>
      </w:r>
    </w:p>
    <w:p w:rsidR="005D440C" w:rsidRPr="005D440C" w:rsidRDefault="005D440C" w:rsidP="005D440C">
      <w:pPr>
        <w:pStyle w:val="Prrafodelista"/>
        <w:numPr>
          <w:ilvl w:val="0"/>
          <w:numId w:val="5"/>
        </w:numPr>
        <w:jc w:val="both"/>
        <w:rPr>
          <w:rFonts w:ascii="Arial" w:hAnsi="Arial" w:cs="Arial"/>
          <w:b/>
          <w:sz w:val="28"/>
        </w:rPr>
      </w:pPr>
      <w:r w:rsidRPr="005D440C">
        <w:rPr>
          <w:rFonts w:ascii="Arial" w:hAnsi="Arial" w:cs="Arial"/>
          <w:b/>
          <w:sz w:val="28"/>
        </w:rPr>
        <w:t>% Riesgo Atribuible  RA/ IE (100)</w:t>
      </w:r>
    </w:p>
    <w:p w:rsidR="005D440C" w:rsidRPr="005D440C" w:rsidRDefault="005D440C" w:rsidP="005D440C">
      <w:pPr>
        <w:pStyle w:val="Sinespaciado"/>
        <w:rPr>
          <w:rFonts w:ascii="Arial" w:hAnsi="Arial" w:cs="Arial"/>
          <w:sz w:val="28"/>
          <w:szCs w:val="24"/>
        </w:rPr>
      </w:pPr>
      <w:r w:rsidRPr="005D440C">
        <w:rPr>
          <w:rFonts w:ascii="Arial" w:hAnsi="Arial" w:cs="Arial"/>
          <w:sz w:val="28"/>
          <w:szCs w:val="24"/>
        </w:rPr>
        <w:t>(-.04/.46) =  -0.08</w:t>
      </w:r>
    </w:p>
    <w:p w:rsidR="005D440C" w:rsidRPr="005D440C" w:rsidRDefault="005D440C" w:rsidP="005D440C">
      <w:pPr>
        <w:pStyle w:val="Sinespaciado"/>
        <w:rPr>
          <w:rFonts w:ascii="Arial" w:hAnsi="Arial" w:cs="Arial"/>
          <w:sz w:val="28"/>
          <w:szCs w:val="24"/>
        </w:rPr>
      </w:pPr>
      <w:r w:rsidRPr="005D440C">
        <w:rPr>
          <w:rFonts w:ascii="Arial" w:hAnsi="Arial" w:cs="Arial"/>
          <w:sz w:val="28"/>
          <w:szCs w:val="24"/>
        </w:rPr>
        <w:t>(-.08) 100 = -8.6   -8.6%</w:t>
      </w:r>
    </w:p>
    <w:p w:rsidR="005D440C" w:rsidRPr="005D440C" w:rsidRDefault="005D440C" w:rsidP="005D440C">
      <w:pPr>
        <w:rPr>
          <w:rFonts w:ascii="Arial" w:hAnsi="Arial" w:cs="Arial"/>
          <w:sz w:val="28"/>
        </w:rPr>
      </w:pPr>
    </w:p>
    <w:p w:rsidR="005D440C" w:rsidRPr="005D440C" w:rsidRDefault="005D440C" w:rsidP="005D440C">
      <w:pPr>
        <w:rPr>
          <w:rFonts w:ascii="Arial" w:hAnsi="Arial" w:cs="Arial"/>
          <w:sz w:val="28"/>
        </w:rPr>
      </w:pPr>
    </w:p>
    <w:p w:rsidR="005D440C" w:rsidRPr="005D440C" w:rsidRDefault="005D440C" w:rsidP="005D440C">
      <w:pPr>
        <w:rPr>
          <w:rFonts w:ascii="Arial" w:hAnsi="Arial" w:cs="Arial"/>
          <w:sz w:val="28"/>
        </w:rPr>
      </w:pPr>
    </w:p>
    <w:p w:rsidR="005D440C" w:rsidRPr="005D440C" w:rsidRDefault="005D440C" w:rsidP="005D440C">
      <w:pPr>
        <w:rPr>
          <w:rFonts w:ascii="Arial" w:hAnsi="Arial" w:cs="Arial"/>
          <w:sz w:val="28"/>
        </w:rPr>
      </w:pPr>
    </w:p>
    <w:p w:rsidR="00FA13EA" w:rsidRDefault="00FA13EA" w:rsidP="006947AA">
      <w:pPr>
        <w:jc w:val="both"/>
        <w:rPr>
          <w:rFonts w:ascii="Arial" w:hAnsi="Arial" w:cs="Arial"/>
          <w:sz w:val="28"/>
        </w:rPr>
      </w:pPr>
    </w:p>
    <w:p w:rsidR="002022DB" w:rsidRDefault="002022DB" w:rsidP="006947AA">
      <w:pPr>
        <w:jc w:val="both"/>
        <w:rPr>
          <w:rFonts w:ascii="Arial" w:hAnsi="Arial" w:cs="Arial"/>
          <w:sz w:val="28"/>
        </w:rPr>
      </w:pPr>
    </w:p>
    <w:p w:rsidR="002022DB" w:rsidRDefault="002022DB" w:rsidP="006947AA">
      <w:pPr>
        <w:jc w:val="both"/>
        <w:rPr>
          <w:rFonts w:ascii="Arial" w:hAnsi="Arial" w:cs="Arial"/>
          <w:sz w:val="28"/>
        </w:rPr>
      </w:pPr>
    </w:p>
    <w:p w:rsidR="002022DB" w:rsidRDefault="002022DB" w:rsidP="006947AA">
      <w:pPr>
        <w:jc w:val="both"/>
        <w:rPr>
          <w:rFonts w:ascii="Arial" w:hAnsi="Arial" w:cs="Arial"/>
          <w:sz w:val="28"/>
        </w:rPr>
      </w:pPr>
    </w:p>
    <w:p w:rsidR="002022DB" w:rsidRDefault="002022DB" w:rsidP="006947AA">
      <w:pPr>
        <w:jc w:val="both"/>
        <w:rPr>
          <w:rFonts w:ascii="Arial" w:hAnsi="Arial" w:cs="Arial"/>
          <w:sz w:val="28"/>
        </w:rPr>
      </w:pPr>
    </w:p>
    <w:p w:rsidR="002022DB" w:rsidRDefault="002022DB" w:rsidP="006947AA">
      <w:pPr>
        <w:jc w:val="both"/>
        <w:rPr>
          <w:rFonts w:ascii="Arial" w:hAnsi="Arial" w:cs="Arial"/>
          <w:sz w:val="28"/>
        </w:rPr>
      </w:pPr>
    </w:p>
    <w:p w:rsidR="00675F40" w:rsidRDefault="00675F40" w:rsidP="006947AA">
      <w:pPr>
        <w:jc w:val="both"/>
        <w:rPr>
          <w:rFonts w:ascii="Arial" w:hAnsi="Arial" w:cs="Arial"/>
          <w:color w:val="00B050"/>
        </w:rPr>
      </w:pPr>
    </w:p>
    <w:p w:rsidR="002022DB" w:rsidRPr="00675F40" w:rsidRDefault="002022DB" w:rsidP="006947AA">
      <w:pPr>
        <w:jc w:val="both"/>
        <w:rPr>
          <w:rFonts w:ascii="Arial" w:hAnsi="Arial" w:cs="Arial"/>
          <w:color w:val="00B050"/>
          <w:sz w:val="28"/>
        </w:rPr>
      </w:pPr>
      <w:r w:rsidRPr="00675F40">
        <w:rPr>
          <w:rFonts w:ascii="Arial" w:hAnsi="Arial" w:cs="Arial"/>
          <w:color w:val="00B050"/>
          <w:sz w:val="28"/>
        </w:rPr>
        <w:t>¿Fue el objetivo de estudio definido con claridad?</w:t>
      </w:r>
    </w:p>
    <w:p w:rsidR="002022DB" w:rsidRPr="00675F40" w:rsidRDefault="002022DB" w:rsidP="006947AA">
      <w:pPr>
        <w:jc w:val="both"/>
        <w:rPr>
          <w:rFonts w:ascii="Arial" w:hAnsi="Arial" w:cs="Arial"/>
          <w:sz w:val="28"/>
        </w:rPr>
      </w:pPr>
      <w:r w:rsidRPr="00675F40">
        <w:rPr>
          <w:rFonts w:ascii="Arial" w:hAnsi="Arial" w:cs="Arial"/>
          <w:sz w:val="28"/>
        </w:rPr>
        <w:t>Si, ya que se menciona que el estudio PLATO se llevó acabo para determinar si ticagrelor era superior a clopidrogrel en la prevención de eventos vasculares y muertes en una amplia población de pacientes que presentaran síndrome coronarió agudo.</w:t>
      </w:r>
    </w:p>
    <w:p w:rsidR="002022DB" w:rsidRPr="00675F40" w:rsidRDefault="002022DB" w:rsidP="002022DB">
      <w:pPr>
        <w:jc w:val="both"/>
        <w:rPr>
          <w:rFonts w:ascii="Arial" w:hAnsi="Arial" w:cs="Arial"/>
          <w:color w:val="00B050"/>
          <w:sz w:val="28"/>
        </w:rPr>
      </w:pPr>
      <w:r w:rsidRPr="00675F40">
        <w:rPr>
          <w:rFonts w:ascii="Arial" w:hAnsi="Arial" w:cs="Arial"/>
          <w:color w:val="00B050"/>
          <w:sz w:val="28"/>
        </w:rPr>
        <w:t>¿Qué porcentaje de la población elegible rehusó participar en el estudio?</w:t>
      </w:r>
    </w:p>
    <w:p w:rsidR="002C1F9A" w:rsidRPr="00675F40" w:rsidRDefault="002C1F9A" w:rsidP="002022DB">
      <w:pPr>
        <w:jc w:val="both"/>
        <w:rPr>
          <w:rFonts w:ascii="Arial" w:hAnsi="Arial" w:cs="Arial"/>
          <w:sz w:val="28"/>
        </w:rPr>
      </w:pPr>
      <w:r w:rsidRPr="00675F40">
        <w:rPr>
          <w:rFonts w:ascii="Arial" w:hAnsi="Arial" w:cs="Arial"/>
          <w:sz w:val="28"/>
        </w:rPr>
        <w:t>Solo hace mencionar que de que algunos pacientes abandonaron el estudio en la visita de los 6 o los 9 meses cuando y ase habían alcanzado la cifra de 1780 eventos del criterio principal de valoración.</w:t>
      </w:r>
    </w:p>
    <w:p w:rsidR="004F7BBC" w:rsidRPr="00675F40" w:rsidRDefault="004F7BBC" w:rsidP="006947AA">
      <w:pPr>
        <w:jc w:val="both"/>
        <w:rPr>
          <w:rFonts w:ascii="Arial" w:hAnsi="Arial" w:cs="Arial"/>
          <w:sz w:val="28"/>
        </w:rPr>
      </w:pPr>
      <w:r w:rsidRPr="00675F40">
        <w:rPr>
          <w:rFonts w:ascii="Arial" w:hAnsi="Arial" w:cs="Arial"/>
          <w:color w:val="00B050"/>
          <w:sz w:val="28"/>
        </w:rPr>
        <w:t>¿Fueron las características de estos pacientes diferentes a la de  los incluidos en el estudio?</w:t>
      </w:r>
      <w:r w:rsidR="00675F40">
        <w:rPr>
          <w:rFonts w:ascii="Arial" w:hAnsi="Arial" w:cs="Arial"/>
          <w:color w:val="00B050"/>
          <w:sz w:val="28"/>
        </w:rPr>
        <w:t xml:space="preserve"> </w:t>
      </w:r>
      <w:r w:rsidR="00675F40">
        <w:rPr>
          <w:rFonts w:ascii="Arial" w:hAnsi="Arial" w:cs="Arial"/>
          <w:sz w:val="28"/>
        </w:rPr>
        <w:t>No</w:t>
      </w:r>
    </w:p>
    <w:p w:rsidR="004F7BBC" w:rsidRPr="00675F40" w:rsidRDefault="004F7BBC" w:rsidP="006947AA">
      <w:pPr>
        <w:jc w:val="both"/>
        <w:rPr>
          <w:rFonts w:ascii="Arial" w:hAnsi="Arial" w:cs="Arial"/>
          <w:sz w:val="28"/>
        </w:rPr>
      </w:pPr>
      <w:r w:rsidRPr="00675F40">
        <w:rPr>
          <w:rFonts w:ascii="Arial" w:hAnsi="Arial" w:cs="Arial"/>
          <w:color w:val="00B050"/>
          <w:sz w:val="28"/>
        </w:rPr>
        <w:t>¿Cuál es la probabilidad de que esto haya producido un sesgo en los resultados?</w:t>
      </w:r>
      <w:r w:rsidR="002C1F9A" w:rsidRPr="00675F40">
        <w:rPr>
          <w:rFonts w:ascii="Arial" w:hAnsi="Arial" w:cs="Arial"/>
          <w:color w:val="538135" w:themeColor="accent6" w:themeShade="BF"/>
          <w:sz w:val="28"/>
        </w:rPr>
        <w:t xml:space="preserve"> </w:t>
      </w:r>
      <w:r w:rsidR="002C1F9A" w:rsidRPr="00675F40">
        <w:rPr>
          <w:rFonts w:ascii="Arial" w:hAnsi="Arial" w:cs="Arial"/>
          <w:sz w:val="28"/>
        </w:rPr>
        <w:t>Pues se estimo que serían necesarios 1.780 episodios de este tipo  para conseguir una potencia del 90% para detectar una reducción del riesgo relativo del 13,5% de la tasa de criterio principal de valoración en el grupo de ticagrelor con respecto al grupo de clopidrogel, dada una tasa de episodios del 11% en el grupo de clopidrogel a las 12 meses.</w:t>
      </w:r>
    </w:p>
    <w:p w:rsidR="004F7BBC" w:rsidRPr="00675F40" w:rsidRDefault="004F7BBC" w:rsidP="006947AA">
      <w:pPr>
        <w:jc w:val="both"/>
        <w:rPr>
          <w:rFonts w:ascii="Arial" w:hAnsi="Arial" w:cs="Arial"/>
          <w:sz w:val="28"/>
        </w:rPr>
      </w:pPr>
      <w:r w:rsidRPr="00675F40">
        <w:rPr>
          <w:rFonts w:ascii="Arial" w:hAnsi="Arial" w:cs="Arial"/>
          <w:color w:val="00B050"/>
          <w:sz w:val="28"/>
        </w:rPr>
        <w:t>¿Fueron los tratamientos definidos con claridad?</w:t>
      </w:r>
      <w:r w:rsidR="00E4327D" w:rsidRPr="00675F40">
        <w:rPr>
          <w:rFonts w:ascii="Arial" w:hAnsi="Arial" w:cs="Arial"/>
          <w:color w:val="538135" w:themeColor="accent6" w:themeShade="BF"/>
          <w:sz w:val="28"/>
        </w:rPr>
        <w:t xml:space="preserve"> </w:t>
      </w:r>
      <w:r w:rsidR="00E4327D" w:rsidRPr="00675F40">
        <w:rPr>
          <w:rFonts w:ascii="Arial" w:hAnsi="Arial" w:cs="Arial"/>
          <w:sz w:val="28"/>
        </w:rPr>
        <w:t xml:space="preserve">Si,  se incluyo ticagrelor dosis de carga de 180 seguida de 90 mg dos veces al </w:t>
      </w:r>
      <w:r w:rsidR="00877886" w:rsidRPr="00675F40">
        <w:rPr>
          <w:rFonts w:ascii="Arial" w:hAnsi="Arial" w:cs="Arial"/>
          <w:sz w:val="28"/>
        </w:rPr>
        <w:t>día</w:t>
      </w:r>
      <w:r w:rsidR="00E4327D" w:rsidRPr="00675F40">
        <w:rPr>
          <w:rFonts w:ascii="Arial" w:hAnsi="Arial" w:cs="Arial"/>
          <w:sz w:val="28"/>
        </w:rPr>
        <w:t xml:space="preserve"> y clopidrogel dosis carga de 300 a 600 mg y posteriormente 75mg una al día.</w:t>
      </w:r>
    </w:p>
    <w:p w:rsidR="004F7BBC" w:rsidRPr="00675F40" w:rsidRDefault="004F7BBC" w:rsidP="006947AA">
      <w:pPr>
        <w:jc w:val="both"/>
        <w:rPr>
          <w:rFonts w:ascii="Arial" w:hAnsi="Arial" w:cs="Arial"/>
          <w:color w:val="00B050"/>
          <w:sz w:val="28"/>
        </w:rPr>
      </w:pPr>
      <w:r w:rsidRPr="00675F40">
        <w:rPr>
          <w:rFonts w:ascii="Arial" w:hAnsi="Arial" w:cs="Arial"/>
          <w:color w:val="00B050"/>
          <w:sz w:val="28"/>
        </w:rPr>
        <w:t>¿Se utilizaron controles?</w:t>
      </w:r>
      <w:r w:rsidR="007F1791" w:rsidRPr="00675F40">
        <w:rPr>
          <w:rFonts w:ascii="Arial" w:hAnsi="Arial" w:cs="Arial"/>
          <w:color w:val="00B050"/>
          <w:sz w:val="28"/>
        </w:rPr>
        <w:t xml:space="preserve"> </w:t>
      </w:r>
      <w:r w:rsidR="00675F40">
        <w:rPr>
          <w:rFonts w:ascii="Arial" w:hAnsi="Arial" w:cs="Arial"/>
          <w:color w:val="00B050"/>
          <w:sz w:val="28"/>
        </w:rPr>
        <w:t>Si, comparación con grupo del uso de clopidrogel.</w:t>
      </w:r>
    </w:p>
    <w:p w:rsidR="004F7BBC" w:rsidRPr="00675F40" w:rsidRDefault="004F7BBC" w:rsidP="006947AA">
      <w:pPr>
        <w:jc w:val="both"/>
        <w:rPr>
          <w:rFonts w:ascii="Arial" w:hAnsi="Arial" w:cs="Arial"/>
          <w:sz w:val="28"/>
        </w:rPr>
      </w:pPr>
      <w:r w:rsidRPr="00675F40">
        <w:rPr>
          <w:rFonts w:ascii="Arial" w:hAnsi="Arial" w:cs="Arial"/>
          <w:color w:val="00B050"/>
          <w:sz w:val="28"/>
        </w:rPr>
        <w:t>¿Fueron las características de los pacientes en el grupo control y en el grupo experimental similares, denotando que la asignación aleatoria de los tratamientos fue adecuada?</w:t>
      </w:r>
      <w:r w:rsidR="00675F40">
        <w:rPr>
          <w:rFonts w:ascii="Arial" w:hAnsi="Arial" w:cs="Arial"/>
          <w:color w:val="00B050"/>
          <w:sz w:val="28"/>
        </w:rPr>
        <w:t xml:space="preserve"> </w:t>
      </w:r>
      <w:r w:rsidR="00675F40" w:rsidRPr="00675F40">
        <w:rPr>
          <w:rFonts w:ascii="Arial" w:hAnsi="Arial" w:cs="Arial"/>
          <w:sz w:val="28"/>
        </w:rPr>
        <w:t>Si, se definieron mismos criterios de inclusión,</w:t>
      </w:r>
    </w:p>
    <w:p w:rsidR="004F7BBC" w:rsidRPr="00675F40" w:rsidRDefault="004F7BBC" w:rsidP="006947AA">
      <w:pPr>
        <w:jc w:val="both"/>
        <w:rPr>
          <w:rFonts w:ascii="Arial" w:hAnsi="Arial" w:cs="Arial"/>
          <w:sz w:val="28"/>
        </w:rPr>
      </w:pPr>
      <w:r w:rsidRPr="00675F40">
        <w:rPr>
          <w:rFonts w:ascii="Arial" w:hAnsi="Arial" w:cs="Arial"/>
          <w:color w:val="00B050"/>
          <w:sz w:val="28"/>
        </w:rPr>
        <w:t>¿Se utilizó cegamiento?</w:t>
      </w:r>
      <w:r w:rsidR="007F1791" w:rsidRPr="00675F40">
        <w:rPr>
          <w:rFonts w:ascii="Arial" w:hAnsi="Arial" w:cs="Arial"/>
          <w:color w:val="538135" w:themeColor="accent6" w:themeShade="BF"/>
          <w:sz w:val="28"/>
        </w:rPr>
        <w:t xml:space="preserve"> </w:t>
      </w:r>
      <w:r w:rsidR="007F1791" w:rsidRPr="00675F40">
        <w:rPr>
          <w:rFonts w:ascii="Arial" w:hAnsi="Arial" w:cs="Arial"/>
          <w:sz w:val="28"/>
        </w:rPr>
        <w:t xml:space="preserve">Si, doble cegamiento </w:t>
      </w:r>
    </w:p>
    <w:p w:rsidR="004F7BBC" w:rsidRPr="00675F40" w:rsidRDefault="004F7BBC" w:rsidP="006947AA">
      <w:pPr>
        <w:jc w:val="both"/>
        <w:rPr>
          <w:rFonts w:ascii="Arial" w:hAnsi="Arial" w:cs="Arial"/>
          <w:sz w:val="28"/>
        </w:rPr>
      </w:pPr>
      <w:r w:rsidRPr="00675F40">
        <w:rPr>
          <w:rFonts w:ascii="Arial" w:hAnsi="Arial" w:cs="Arial"/>
          <w:color w:val="00B050"/>
          <w:sz w:val="28"/>
        </w:rPr>
        <w:t>¿Fueron los resultados definidos y medidos correctamente?</w:t>
      </w:r>
      <w:r w:rsidR="00675F40">
        <w:rPr>
          <w:rFonts w:ascii="Arial" w:hAnsi="Arial" w:cs="Arial"/>
          <w:color w:val="00B050"/>
          <w:sz w:val="28"/>
        </w:rPr>
        <w:t xml:space="preserve"> </w:t>
      </w:r>
      <w:r w:rsidR="00675F40" w:rsidRPr="00675F40">
        <w:rPr>
          <w:rFonts w:ascii="Arial" w:hAnsi="Arial" w:cs="Arial"/>
          <w:sz w:val="28"/>
        </w:rPr>
        <w:t>Si, Se definieron criterios de valoración, uno principal y otro secundario. Un comité central independiente de arbitraje se encargó de evaluar todos los episosdios sospechosos de ser criterios de eficacia principales o secundarios, asi como los episosdios de hemorragias graves o leves.</w:t>
      </w:r>
    </w:p>
    <w:p w:rsidR="004F7BBC" w:rsidRPr="00675F40" w:rsidRDefault="004F7BBC" w:rsidP="006947AA">
      <w:pPr>
        <w:jc w:val="both"/>
        <w:rPr>
          <w:rFonts w:ascii="Arial" w:hAnsi="Arial" w:cs="Arial"/>
          <w:sz w:val="28"/>
        </w:rPr>
      </w:pPr>
      <w:r w:rsidRPr="00675F40">
        <w:rPr>
          <w:rFonts w:ascii="Arial" w:hAnsi="Arial" w:cs="Arial"/>
          <w:color w:val="00B050"/>
          <w:sz w:val="28"/>
        </w:rPr>
        <w:t>¿Fue el análisis hecho con intención a tratar?</w:t>
      </w:r>
      <w:r w:rsidR="002C1F9A" w:rsidRPr="00675F40">
        <w:rPr>
          <w:rFonts w:ascii="Arial" w:hAnsi="Arial" w:cs="Arial"/>
          <w:color w:val="00B050"/>
          <w:sz w:val="28"/>
        </w:rPr>
        <w:t xml:space="preserve"> </w:t>
      </w:r>
      <w:r w:rsidR="002C1F9A" w:rsidRPr="00675F40">
        <w:rPr>
          <w:rFonts w:ascii="Arial" w:hAnsi="Arial" w:cs="Arial"/>
          <w:sz w:val="28"/>
        </w:rPr>
        <w:t>Todos los pacientes asignados aleatoriamente a un grupo de tratamiento se incluyeron en el análisis por intención de tratar.</w:t>
      </w:r>
    </w:p>
    <w:p w:rsidR="004F7BBC" w:rsidRPr="00675F40" w:rsidRDefault="004F7BBC" w:rsidP="006947AA">
      <w:pPr>
        <w:jc w:val="both"/>
        <w:rPr>
          <w:rFonts w:ascii="Arial" w:hAnsi="Arial" w:cs="Arial"/>
          <w:color w:val="00B050"/>
          <w:sz w:val="28"/>
        </w:rPr>
      </w:pPr>
      <w:r w:rsidRPr="00675F40">
        <w:rPr>
          <w:rFonts w:ascii="Arial" w:hAnsi="Arial" w:cs="Arial"/>
          <w:color w:val="00B050"/>
          <w:sz w:val="28"/>
        </w:rPr>
        <w:t>¿Fue completo el seguimiento de los pacientes?</w:t>
      </w:r>
      <w:r w:rsidR="00877886" w:rsidRPr="00675F40">
        <w:rPr>
          <w:rFonts w:ascii="Arial" w:hAnsi="Arial" w:cs="Arial"/>
          <w:color w:val="00B050"/>
          <w:sz w:val="28"/>
        </w:rPr>
        <w:t xml:space="preserve"> </w:t>
      </w:r>
    </w:p>
    <w:p w:rsidR="00877886" w:rsidRPr="00675F40" w:rsidRDefault="00675F40" w:rsidP="00675F40">
      <w:pPr>
        <w:pStyle w:val="Sinespaciado"/>
        <w:jc w:val="both"/>
        <w:rPr>
          <w:rFonts w:ascii="Arial" w:hAnsi="Arial" w:cs="Arial"/>
          <w:sz w:val="28"/>
        </w:rPr>
      </w:pPr>
      <w:r w:rsidRPr="00675F40">
        <w:rPr>
          <w:rFonts w:ascii="Arial" w:hAnsi="Arial" w:cs="Arial"/>
          <w:sz w:val="28"/>
        </w:rPr>
        <w:t xml:space="preserve">Se valoró la constancia de los efectos del tratamiento a los largo del tiempo determinado las ratios de tasas riesgo relativo en los periodos desde la aleatorización hasta 30 días  y desde los 31 hasta los 360 días.  Desde octubre de 2006 hasta julio 2008. El periodo de seguimiento terminó en febrero de 2009 </w:t>
      </w:r>
      <w:r w:rsidRPr="00675F40">
        <w:rPr>
          <w:rFonts w:ascii="Arial" w:hAnsi="Arial" w:cs="Arial"/>
          <w:sz w:val="28"/>
        </w:rPr>
        <w:lastRenderedPageBreak/>
        <w:t>cuando se disponía de información del estado vital de todos los pacientes salvo cinco.</w:t>
      </w:r>
    </w:p>
    <w:p w:rsidR="00877886" w:rsidRPr="00675F40" w:rsidRDefault="00877886" w:rsidP="006947AA">
      <w:pPr>
        <w:jc w:val="both"/>
        <w:rPr>
          <w:rFonts w:ascii="Arial" w:hAnsi="Arial" w:cs="Arial"/>
          <w:color w:val="00B050"/>
          <w:sz w:val="28"/>
        </w:rPr>
      </w:pPr>
    </w:p>
    <w:p w:rsidR="00D31164" w:rsidRDefault="00D31164" w:rsidP="006947AA">
      <w:pPr>
        <w:jc w:val="both"/>
        <w:rPr>
          <w:rFonts w:ascii="Arial" w:hAnsi="Arial" w:cs="Arial"/>
          <w:color w:val="00B050"/>
          <w:sz w:val="28"/>
        </w:rPr>
      </w:pPr>
    </w:p>
    <w:p w:rsidR="004F7BBC" w:rsidRPr="00675F40" w:rsidRDefault="004F7BBC" w:rsidP="006947AA">
      <w:pPr>
        <w:jc w:val="both"/>
        <w:rPr>
          <w:rFonts w:ascii="Arial" w:hAnsi="Arial" w:cs="Arial"/>
          <w:color w:val="00B050"/>
          <w:sz w:val="28"/>
        </w:rPr>
      </w:pPr>
      <w:r w:rsidRPr="00675F40">
        <w:rPr>
          <w:rFonts w:ascii="Arial" w:hAnsi="Arial" w:cs="Arial"/>
          <w:color w:val="00B050"/>
          <w:sz w:val="28"/>
        </w:rPr>
        <w:t xml:space="preserve">¿Se excluyeron </w:t>
      </w:r>
      <w:r w:rsidR="002C1F9A" w:rsidRPr="00675F40">
        <w:rPr>
          <w:rFonts w:ascii="Arial" w:hAnsi="Arial" w:cs="Arial"/>
          <w:color w:val="00B050"/>
          <w:sz w:val="28"/>
        </w:rPr>
        <w:t xml:space="preserve">del </w:t>
      </w:r>
      <w:r w:rsidR="00877886" w:rsidRPr="00675F40">
        <w:rPr>
          <w:rFonts w:ascii="Arial" w:hAnsi="Arial" w:cs="Arial"/>
          <w:color w:val="00B050"/>
          <w:sz w:val="28"/>
        </w:rPr>
        <w:t xml:space="preserve">análisis </w:t>
      </w:r>
      <w:r w:rsidRPr="00675F40">
        <w:rPr>
          <w:rFonts w:ascii="Arial" w:hAnsi="Arial" w:cs="Arial"/>
          <w:color w:val="00B050"/>
          <w:sz w:val="28"/>
        </w:rPr>
        <w:t>pacientes después de ser aleatorizados?</w:t>
      </w:r>
    </w:p>
    <w:p w:rsidR="002C1F9A" w:rsidRPr="00675F40" w:rsidRDefault="002C1F9A" w:rsidP="002C1F9A">
      <w:pPr>
        <w:jc w:val="both"/>
        <w:rPr>
          <w:rFonts w:ascii="Arial" w:hAnsi="Arial" w:cs="Arial"/>
          <w:sz w:val="28"/>
        </w:rPr>
      </w:pPr>
      <w:r w:rsidRPr="00675F40">
        <w:rPr>
          <w:rFonts w:ascii="Arial" w:hAnsi="Arial" w:cs="Arial"/>
          <w:sz w:val="28"/>
        </w:rPr>
        <w:t>Se tiene estimado solo que 0,9% del grupo de ticagrelor y 0.1% del grupo de clopidrogel interrumpieron el tratamiento con la medicación del estudio a causa de la disnea.</w:t>
      </w:r>
    </w:p>
    <w:p w:rsidR="007F1791" w:rsidRPr="00D31164" w:rsidRDefault="007F1791" w:rsidP="006947AA">
      <w:pPr>
        <w:jc w:val="both"/>
        <w:rPr>
          <w:rFonts w:ascii="Arial" w:hAnsi="Arial" w:cs="Arial"/>
          <w:sz w:val="28"/>
        </w:rPr>
      </w:pPr>
      <w:r w:rsidRPr="00675F40">
        <w:rPr>
          <w:rFonts w:ascii="Arial" w:hAnsi="Arial" w:cs="Arial"/>
          <w:color w:val="538135" w:themeColor="accent6" w:themeShade="BF"/>
          <w:sz w:val="28"/>
        </w:rPr>
        <w:t>¿</w:t>
      </w:r>
      <w:r w:rsidRPr="00675F40">
        <w:rPr>
          <w:rFonts w:ascii="Arial" w:hAnsi="Arial" w:cs="Arial"/>
          <w:color w:val="00B050"/>
          <w:sz w:val="28"/>
        </w:rPr>
        <w:t>Fueron las características de dichos pacientes diferen</w:t>
      </w:r>
      <w:r w:rsidR="002C1F9A" w:rsidRPr="00675F40">
        <w:rPr>
          <w:rFonts w:ascii="Arial" w:hAnsi="Arial" w:cs="Arial"/>
          <w:color w:val="00B050"/>
          <w:sz w:val="28"/>
        </w:rPr>
        <w:t>tes a las de los que fueron inc</w:t>
      </w:r>
      <w:r w:rsidRPr="00675F40">
        <w:rPr>
          <w:rFonts w:ascii="Arial" w:hAnsi="Arial" w:cs="Arial"/>
          <w:color w:val="00B050"/>
          <w:sz w:val="28"/>
        </w:rPr>
        <w:t>luidos en el análisis?</w:t>
      </w:r>
      <w:r w:rsidR="00D31164">
        <w:rPr>
          <w:rFonts w:ascii="Arial" w:hAnsi="Arial" w:cs="Arial"/>
          <w:color w:val="00B050"/>
          <w:sz w:val="28"/>
        </w:rPr>
        <w:t xml:space="preserve"> </w:t>
      </w:r>
      <w:r w:rsidR="00D31164">
        <w:rPr>
          <w:rFonts w:ascii="Arial" w:hAnsi="Arial" w:cs="Arial"/>
          <w:sz w:val="28"/>
        </w:rPr>
        <w:t>No</w:t>
      </w:r>
    </w:p>
    <w:p w:rsidR="007F1791" w:rsidRPr="00D31164" w:rsidRDefault="007F1791" w:rsidP="006947AA">
      <w:pPr>
        <w:jc w:val="both"/>
        <w:rPr>
          <w:rFonts w:ascii="Arial" w:hAnsi="Arial" w:cs="Arial"/>
          <w:sz w:val="28"/>
        </w:rPr>
      </w:pPr>
      <w:r w:rsidRPr="00675F40">
        <w:rPr>
          <w:rFonts w:ascii="Arial" w:hAnsi="Arial" w:cs="Arial"/>
          <w:color w:val="00B050"/>
          <w:sz w:val="28"/>
        </w:rPr>
        <w:t>¿Cuál es la validez externa o aplicabilidad de los resultados a otros grupos de pacientes</w:t>
      </w:r>
      <w:r w:rsidR="00D31164">
        <w:rPr>
          <w:rFonts w:ascii="Arial" w:hAnsi="Arial" w:cs="Arial"/>
          <w:color w:val="00B050"/>
          <w:sz w:val="28"/>
        </w:rPr>
        <w:t xml:space="preserve">? </w:t>
      </w:r>
      <w:r w:rsidR="00D31164">
        <w:rPr>
          <w:rFonts w:ascii="Arial" w:hAnsi="Arial" w:cs="Arial"/>
          <w:sz w:val="28"/>
        </w:rPr>
        <w:t>Los resultados referentes al criterio principal de valoración no mostraron nunguna heregeneidad significativa en el análisis de los 33 subgrupos, salvo en tres excepciones. El beneficio de ticagrelor parecía estar atenuado en pacientes con peso inferiror a la mediana de su sexo (p= 0,04 para la interacción)</w:t>
      </w:r>
      <w:r w:rsidR="00491B09">
        <w:rPr>
          <w:rFonts w:ascii="Arial" w:hAnsi="Arial" w:cs="Arial"/>
          <w:sz w:val="28"/>
        </w:rPr>
        <w:t xml:space="preserve"> y reclutados en norteamérica. En el grupo de ticagrelor se observó una tasa más elevada de hemorragias graves no relacionadas con bypass, según los criterios del estudio. Con ticagrelor hubo mas episodios de hemorragia intracraneal que con clopidrogel, incluidas las hemorragias intracraneales mortales, Pero con ticaggrelor hubo menos episodios de otros tipos de hemorragias mortales. La interrupción del tratamiento con el fármaco del estudio a causa de los efectos adversos fue más frecuente con ticagrelor que con clopidrogel,adempas que se reporta  episodios de disnea más habituales en el grupo de ticagrelor.</w:t>
      </w:r>
    </w:p>
    <w:p w:rsidR="004F7BBC" w:rsidRPr="00675F40" w:rsidRDefault="004F7BBC" w:rsidP="006947AA">
      <w:pPr>
        <w:jc w:val="both"/>
        <w:rPr>
          <w:rFonts w:ascii="Arial" w:hAnsi="Arial" w:cs="Arial"/>
          <w:color w:val="00B050"/>
          <w:sz w:val="28"/>
        </w:rPr>
      </w:pPr>
    </w:p>
    <w:p w:rsidR="004F7BBC" w:rsidRPr="00675F40" w:rsidRDefault="004F7BBC" w:rsidP="006947AA">
      <w:pPr>
        <w:jc w:val="both"/>
        <w:rPr>
          <w:rFonts w:ascii="Arial" w:hAnsi="Arial" w:cs="Arial"/>
          <w:color w:val="538135" w:themeColor="accent6" w:themeShade="BF"/>
          <w:sz w:val="28"/>
        </w:rPr>
      </w:pPr>
    </w:p>
    <w:p w:rsidR="004F7BBC" w:rsidRPr="00675F40" w:rsidRDefault="004F7BBC" w:rsidP="006947AA">
      <w:pPr>
        <w:jc w:val="both"/>
        <w:rPr>
          <w:rFonts w:ascii="Arial" w:hAnsi="Arial" w:cs="Arial"/>
          <w:sz w:val="28"/>
        </w:rPr>
      </w:pPr>
    </w:p>
    <w:p w:rsidR="004F7BBC" w:rsidRPr="00675F40" w:rsidRDefault="004F7BBC" w:rsidP="006947AA">
      <w:pPr>
        <w:jc w:val="both"/>
        <w:rPr>
          <w:rFonts w:ascii="Arial" w:hAnsi="Arial" w:cs="Arial"/>
        </w:rPr>
      </w:pPr>
      <w:r w:rsidRPr="00675F40">
        <w:rPr>
          <w:rFonts w:ascii="Arial" w:hAnsi="Arial" w:cs="Arial"/>
        </w:rPr>
        <w:t xml:space="preserve"> </w:t>
      </w:r>
    </w:p>
    <w:sectPr w:rsidR="004F7BBC" w:rsidRPr="00675F40" w:rsidSect="00B222B9">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9B1" w:rsidRDefault="008E49B1" w:rsidP="00BB719E">
      <w:r>
        <w:separator/>
      </w:r>
    </w:p>
  </w:endnote>
  <w:endnote w:type="continuationSeparator" w:id="1">
    <w:p w:rsidR="008E49B1" w:rsidRDefault="008E49B1" w:rsidP="00BB719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Droid Sans Fallback">
    <w:altName w:val="MS Mincho"/>
    <w:charset w:val="8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ohit Hindi">
    <w:altName w:val="MS Mincho"/>
    <w:charset w:val="8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9B1" w:rsidRDefault="008E49B1" w:rsidP="00BB719E">
      <w:r>
        <w:separator/>
      </w:r>
    </w:p>
  </w:footnote>
  <w:footnote w:type="continuationSeparator" w:id="1">
    <w:p w:rsidR="008E49B1" w:rsidRDefault="008E49B1" w:rsidP="00BB71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5B75CB6"/>
    <w:multiLevelType w:val="hybridMultilevel"/>
    <w:tmpl w:val="091A8324"/>
    <w:lvl w:ilvl="0" w:tplc="8688847C">
      <w:start w:val="1"/>
      <w:numFmt w:val="bullet"/>
      <w:lvlText w:val=""/>
      <w:lvlJc w:val="left"/>
      <w:pPr>
        <w:ind w:left="720" w:hanging="360"/>
      </w:pPr>
      <w:rPr>
        <w:rFonts w:ascii="Wingdings" w:eastAsia="Droid Sans Fallback"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ABA47D2"/>
    <w:multiLevelType w:val="hybridMultilevel"/>
    <w:tmpl w:val="50E61D6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A395DCC"/>
    <w:multiLevelType w:val="hybridMultilevel"/>
    <w:tmpl w:val="009CABAE"/>
    <w:lvl w:ilvl="0" w:tplc="080A0003">
      <w:start w:val="1"/>
      <w:numFmt w:val="bullet"/>
      <w:lvlText w:val="o"/>
      <w:lvlJc w:val="left"/>
      <w:pPr>
        <w:ind w:left="720" w:hanging="360"/>
      </w:pPr>
      <w:rPr>
        <w:rFonts w:ascii="Courier New" w:hAnsi="Courier New" w:cs="Courier New"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47AA"/>
    <w:rsid w:val="00027ED0"/>
    <w:rsid w:val="000F7924"/>
    <w:rsid w:val="0011113D"/>
    <w:rsid w:val="00144AC0"/>
    <w:rsid w:val="002022DB"/>
    <w:rsid w:val="00212E18"/>
    <w:rsid w:val="00237659"/>
    <w:rsid w:val="0024340F"/>
    <w:rsid w:val="00271FD3"/>
    <w:rsid w:val="002B4A1C"/>
    <w:rsid w:val="002C1F9A"/>
    <w:rsid w:val="00337B7F"/>
    <w:rsid w:val="003A35D5"/>
    <w:rsid w:val="003B0D92"/>
    <w:rsid w:val="00420D97"/>
    <w:rsid w:val="00422C20"/>
    <w:rsid w:val="00426BA4"/>
    <w:rsid w:val="00460059"/>
    <w:rsid w:val="00467F0D"/>
    <w:rsid w:val="00491B09"/>
    <w:rsid w:val="004B29DD"/>
    <w:rsid w:val="004F7BBC"/>
    <w:rsid w:val="00526958"/>
    <w:rsid w:val="005608AB"/>
    <w:rsid w:val="005B2F8E"/>
    <w:rsid w:val="005D362E"/>
    <w:rsid w:val="005D440C"/>
    <w:rsid w:val="005F6D9F"/>
    <w:rsid w:val="00625E29"/>
    <w:rsid w:val="0063441E"/>
    <w:rsid w:val="00675F40"/>
    <w:rsid w:val="00691580"/>
    <w:rsid w:val="006947AA"/>
    <w:rsid w:val="007165CB"/>
    <w:rsid w:val="00750578"/>
    <w:rsid w:val="007D54DF"/>
    <w:rsid w:val="007F1791"/>
    <w:rsid w:val="00841AC9"/>
    <w:rsid w:val="00877886"/>
    <w:rsid w:val="008E2041"/>
    <w:rsid w:val="008E49B1"/>
    <w:rsid w:val="009133E6"/>
    <w:rsid w:val="00927CF5"/>
    <w:rsid w:val="0098366C"/>
    <w:rsid w:val="009908F8"/>
    <w:rsid w:val="00AD2F53"/>
    <w:rsid w:val="00AE6E61"/>
    <w:rsid w:val="00B1157A"/>
    <w:rsid w:val="00B222B9"/>
    <w:rsid w:val="00B72D40"/>
    <w:rsid w:val="00BB449A"/>
    <w:rsid w:val="00BB719E"/>
    <w:rsid w:val="00C0721A"/>
    <w:rsid w:val="00C36A59"/>
    <w:rsid w:val="00C90A1D"/>
    <w:rsid w:val="00C93B30"/>
    <w:rsid w:val="00C95D0E"/>
    <w:rsid w:val="00CE49B5"/>
    <w:rsid w:val="00D1587E"/>
    <w:rsid w:val="00D31164"/>
    <w:rsid w:val="00D31BE6"/>
    <w:rsid w:val="00DB6C9F"/>
    <w:rsid w:val="00E2439A"/>
    <w:rsid w:val="00E4327D"/>
    <w:rsid w:val="00E52C30"/>
    <w:rsid w:val="00E61295"/>
    <w:rsid w:val="00E9039B"/>
    <w:rsid w:val="00EC5E71"/>
    <w:rsid w:val="00F8338B"/>
    <w:rsid w:val="00FA13E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B9"/>
    <w:pPr>
      <w:widowControl w:val="0"/>
      <w:suppressAutoHyphens/>
    </w:pPr>
    <w:rPr>
      <w:rFonts w:eastAsia="Droid Sans Fallback" w:cs="Lohit Hindi"/>
      <w:kern w:val="1"/>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rsid w:val="00B222B9"/>
    <w:pPr>
      <w:keepNext/>
      <w:spacing w:before="240" w:after="120"/>
    </w:pPr>
    <w:rPr>
      <w:rFonts w:ascii="Arial" w:hAnsi="Arial"/>
      <w:sz w:val="28"/>
      <w:szCs w:val="28"/>
    </w:rPr>
  </w:style>
  <w:style w:type="paragraph" w:styleId="Textoindependiente">
    <w:name w:val="Body Text"/>
    <w:basedOn w:val="Normal"/>
    <w:rsid w:val="00B222B9"/>
    <w:pPr>
      <w:spacing w:after="120"/>
    </w:pPr>
  </w:style>
  <w:style w:type="paragraph" w:styleId="Lista">
    <w:name w:val="List"/>
    <w:basedOn w:val="Textoindependiente"/>
    <w:rsid w:val="00B222B9"/>
  </w:style>
  <w:style w:type="paragraph" w:styleId="Epgrafe">
    <w:name w:val="caption"/>
    <w:basedOn w:val="Normal"/>
    <w:qFormat/>
    <w:rsid w:val="00B222B9"/>
    <w:pPr>
      <w:suppressLineNumbers/>
      <w:spacing w:before="120" w:after="120"/>
    </w:pPr>
    <w:rPr>
      <w:i/>
      <w:iCs/>
    </w:rPr>
  </w:style>
  <w:style w:type="paragraph" w:customStyle="1" w:styleId="ndice">
    <w:name w:val="Índice"/>
    <w:basedOn w:val="Normal"/>
    <w:rsid w:val="00B222B9"/>
    <w:pPr>
      <w:suppressLineNumbers/>
    </w:pPr>
  </w:style>
  <w:style w:type="paragraph" w:styleId="Prrafodelista">
    <w:name w:val="List Paragraph"/>
    <w:basedOn w:val="Normal"/>
    <w:uiPriority w:val="34"/>
    <w:qFormat/>
    <w:rsid w:val="00B222B9"/>
    <w:pPr>
      <w:spacing w:after="200"/>
      <w:ind w:left="720"/>
      <w:contextualSpacing/>
    </w:pPr>
  </w:style>
  <w:style w:type="table" w:styleId="Tablaconcuadrcula">
    <w:name w:val="Table Grid"/>
    <w:basedOn w:val="Tablanormal"/>
    <w:uiPriority w:val="39"/>
    <w:rsid w:val="006947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Tablanormal"/>
    <w:uiPriority w:val="43"/>
    <w:rsid w:val="007D54DF"/>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1LightAccent6">
    <w:name w:val="Grid Table 1 Light Accent 6"/>
    <w:basedOn w:val="Tablanormal"/>
    <w:uiPriority w:val="46"/>
    <w:rsid w:val="007D54DF"/>
    <w:tblPr>
      <w:tblStyleRowBandSize w:val="1"/>
      <w:tblStyleColBandSize w:val="1"/>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1Light">
    <w:name w:val="Grid Table 1 Light"/>
    <w:basedOn w:val="Tablanormal"/>
    <w:uiPriority w:val="46"/>
    <w:rsid w:val="007D54DF"/>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4">
    <w:name w:val="Plain Table 4"/>
    <w:basedOn w:val="Tablanormal"/>
    <w:uiPriority w:val="44"/>
    <w:rsid w:val="007D54DF"/>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5DarkAccent5">
    <w:name w:val="Grid Table 5 Dark Accent 5"/>
    <w:basedOn w:val="Tablanormal"/>
    <w:uiPriority w:val="50"/>
    <w:rsid w:val="007D54DF"/>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6">
    <w:name w:val="Grid Table 5 Dark Accent 6"/>
    <w:basedOn w:val="Tablanormal"/>
    <w:uiPriority w:val="50"/>
    <w:rsid w:val="007D54DF"/>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6ColorfulAccent6">
    <w:name w:val="Grid Table 6 Colorful Accent 6"/>
    <w:basedOn w:val="Tablanormal"/>
    <w:uiPriority w:val="51"/>
    <w:rsid w:val="007D54DF"/>
    <w:rPr>
      <w:color w:val="538135"/>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3Accent6">
    <w:name w:val="Grid Table 3 Accent 6"/>
    <w:basedOn w:val="Tablanormal"/>
    <w:uiPriority w:val="48"/>
    <w:rsid w:val="00841AC9"/>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GridTable4Accent6">
    <w:name w:val="Grid Table 4 Accent 6"/>
    <w:basedOn w:val="Tablanormal"/>
    <w:uiPriority w:val="49"/>
    <w:rsid w:val="00841AC9"/>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Encabezado">
    <w:name w:val="header"/>
    <w:basedOn w:val="Normal"/>
    <w:link w:val="EncabezadoCar"/>
    <w:uiPriority w:val="99"/>
    <w:unhideWhenUsed/>
    <w:rsid w:val="00BB719E"/>
    <w:pPr>
      <w:tabs>
        <w:tab w:val="center" w:pos="4419"/>
        <w:tab w:val="right" w:pos="8838"/>
      </w:tabs>
    </w:pPr>
    <w:rPr>
      <w:rFonts w:cs="Mangal"/>
      <w:szCs w:val="21"/>
    </w:rPr>
  </w:style>
  <w:style w:type="character" w:customStyle="1" w:styleId="EncabezadoCar">
    <w:name w:val="Encabezado Car"/>
    <w:link w:val="Encabezado"/>
    <w:uiPriority w:val="99"/>
    <w:rsid w:val="00BB719E"/>
    <w:rPr>
      <w:rFonts w:eastAsia="Droid Sans Fallback" w:cs="Mangal"/>
      <w:kern w:val="1"/>
      <w:sz w:val="24"/>
      <w:szCs w:val="21"/>
      <w:lang w:eastAsia="zh-CN" w:bidi="hi-IN"/>
    </w:rPr>
  </w:style>
  <w:style w:type="paragraph" w:styleId="Piedepgina">
    <w:name w:val="footer"/>
    <w:basedOn w:val="Normal"/>
    <w:link w:val="PiedepginaCar"/>
    <w:uiPriority w:val="99"/>
    <w:unhideWhenUsed/>
    <w:rsid w:val="00BB719E"/>
    <w:pPr>
      <w:tabs>
        <w:tab w:val="center" w:pos="4419"/>
        <w:tab w:val="right" w:pos="8838"/>
      </w:tabs>
    </w:pPr>
    <w:rPr>
      <w:rFonts w:cs="Mangal"/>
      <w:szCs w:val="21"/>
    </w:rPr>
  </w:style>
  <w:style w:type="character" w:customStyle="1" w:styleId="PiedepginaCar">
    <w:name w:val="Pie de página Car"/>
    <w:link w:val="Piedepgina"/>
    <w:uiPriority w:val="99"/>
    <w:rsid w:val="00BB719E"/>
    <w:rPr>
      <w:rFonts w:eastAsia="Droid Sans Fallback" w:cs="Mangal"/>
      <w:kern w:val="1"/>
      <w:sz w:val="24"/>
      <w:szCs w:val="21"/>
      <w:lang w:eastAsia="zh-CN" w:bidi="hi-IN"/>
    </w:rPr>
  </w:style>
  <w:style w:type="paragraph" w:customStyle="1" w:styleId="Default">
    <w:name w:val="Default"/>
    <w:rsid w:val="00BB719E"/>
    <w:pPr>
      <w:autoSpaceDE w:val="0"/>
      <w:autoSpaceDN w:val="0"/>
      <w:adjustRightInd w:val="0"/>
    </w:pPr>
    <w:rPr>
      <w:rFonts w:ascii="Arial" w:hAnsi="Arial" w:cs="Arial"/>
      <w:color w:val="000000"/>
      <w:sz w:val="24"/>
      <w:szCs w:val="24"/>
    </w:rPr>
  </w:style>
  <w:style w:type="table" w:customStyle="1" w:styleId="GridTable4Accent5">
    <w:name w:val="Grid Table 4 Accent 5"/>
    <w:basedOn w:val="Tablanormal"/>
    <w:uiPriority w:val="49"/>
    <w:rsid w:val="00BB449A"/>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4">
    <w:name w:val="Grid Table 5 Dark Accent 4"/>
    <w:basedOn w:val="Tablanormal"/>
    <w:uiPriority w:val="50"/>
    <w:rsid w:val="009133E6"/>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paragraph" w:styleId="Sinespaciado">
    <w:name w:val="No Spacing"/>
    <w:uiPriority w:val="1"/>
    <w:qFormat/>
    <w:rsid w:val="005D440C"/>
    <w:rPr>
      <w:rFonts w:ascii="Calibri" w:eastAsia="Calibri" w:hAnsi="Calibri"/>
      <w:sz w:val="22"/>
      <w:szCs w:val="22"/>
      <w:lang w:eastAsia="en-US"/>
    </w:rPr>
  </w:style>
  <w:style w:type="table" w:styleId="Listaclara-nfasis5">
    <w:name w:val="Light List Accent 5"/>
    <w:basedOn w:val="Tablanormal"/>
    <w:uiPriority w:val="61"/>
    <w:rsid w:val="005D440C"/>
    <w:rPr>
      <w:rFonts w:ascii="Calibri" w:eastAsia="Calibri" w:hAnsi="Calibri"/>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line="240" w:lineRule="auto"/>
      </w:pPr>
      <w:rPr>
        <w:b/>
        <w:bCs/>
        <w:color w:val="FFFFFF"/>
      </w:rPr>
      <w:tblPr/>
      <w:tcPr>
        <w:shd w:val="clear" w:color="auto" w:fill="4BACC6"/>
      </w:tcPr>
    </w:tblStylePr>
    <w:tblStylePr w:type="lastRow">
      <w:pPr>
        <w:spacing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Table3Accent6">
    <w:name w:val="List Table 3 Accent 6"/>
    <w:basedOn w:val="Tablanormal"/>
    <w:uiPriority w:val="48"/>
    <w:rsid w:val="005D440C"/>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paragraph" w:styleId="Textodeglobo">
    <w:name w:val="Balloon Text"/>
    <w:basedOn w:val="Normal"/>
    <w:link w:val="TextodegloboCar"/>
    <w:uiPriority w:val="99"/>
    <w:semiHidden/>
    <w:unhideWhenUsed/>
    <w:rsid w:val="007F1791"/>
    <w:rPr>
      <w:rFonts w:ascii="Tahoma" w:hAnsi="Tahoma" w:cs="Mangal"/>
      <w:sz w:val="16"/>
      <w:szCs w:val="14"/>
    </w:rPr>
  </w:style>
  <w:style w:type="character" w:customStyle="1" w:styleId="TextodegloboCar">
    <w:name w:val="Texto de globo Car"/>
    <w:basedOn w:val="Fuentedeprrafopredeter"/>
    <w:link w:val="Textodeglobo"/>
    <w:uiPriority w:val="99"/>
    <w:semiHidden/>
    <w:rsid w:val="007F1791"/>
    <w:rPr>
      <w:rFonts w:ascii="Tahoma" w:eastAsia="Droid Sans Fallback" w:hAnsi="Tahoma" w:cs="Mangal"/>
      <w:kern w:val="1"/>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3923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linux01</dc:creator>
  <cp:lastModifiedBy>ANA</cp:lastModifiedBy>
  <cp:revision>2</cp:revision>
  <cp:lastPrinted>2015-04-16T00:07:00Z</cp:lastPrinted>
  <dcterms:created xsi:type="dcterms:W3CDTF">2015-04-23T02:56:00Z</dcterms:created>
  <dcterms:modified xsi:type="dcterms:W3CDTF">2015-04-23T02:56:00Z</dcterms:modified>
</cp:coreProperties>
</file>