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auto" w:val="clear"/>
        </w:rPr>
        <w:t xml:space="preserve">Medicina Ba</w:t>
      </w:r>
      <w:r>
        <w:rPr>
          <w:rFonts w:ascii="Arial" w:hAnsi="Arial" w:cs="Arial" w:eastAsia="Arial"/>
          <w:color w:val="000000"/>
          <w:spacing w:val="0"/>
          <w:position w:val="0"/>
          <w:sz w:val="24"/>
          <w:shd w:fill="FFFFFF" w:val="clear"/>
        </w:rPr>
        <w:t xml:space="preserve">sada en Evidencias                 JOSE ORLANDO FONSECA RODRIGUEZ </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Ticagrelor frente a Clopidogrel en pacientes consíndrome coronario agudo </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este estudio es un inhibidor oral, reversible y de acción directa, del receptor P2Y12 del difosfato de adenosina, que produce una inhibición plaquetaria más rápida y más pronunciada que clopidogrel.</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Los pacientes se asignaron aleatoriamente a un tratamiento con ticagrelor o con clopidogrel, administrados doble ciego y simulación doble.</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Se reclutaron 18624 pacientes de 862 centros en 43 paises, desde octubre de 2006 hasta julio de 2008. El periodo de seguimiento termino en febrero de 29, cuando se disponía de información del estado vital de todos los pacientes</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Grupo ticagrelor- 9333</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Grupo clopidogrel- 9291</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p>
    <w:tbl>
      <w:tblPr/>
      <w:tblGrid>
        <w:gridCol w:w="2207"/>
        <w:gridCol w:w="2207"/>
        <w:gridCol w:w="2207"/>
        <w:gridCol w:w="2207"/>
      </w:tblGrid>
      <w:tr>
        <w:trPr>
          <w:trHeight w:val="1" w:hRule="atLeast"/>
          <w:jc w:val="left"/>
        </w:trPr>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Enfermos</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No enfermos</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clopidogrel</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491</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8744</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9235</w:t>
            </w:r>
          </w:p>
        </w:tc>
      </w:tr>
      <w:tr>
        <w:trPr>
          <w:trHeight w:val="1" w:hRule="atLeast"/>
          <w:jc w:val="left"/>
        </w:trPr>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ticagrelor</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480</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8706</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9186</w:t>
            </w:r>
          </w:p>
        </w:tc>
      </w:tr>
      <w:tr>
        <w:trPr>
          <w:trHeight w:val="1" w:hRule="atLeast"/>
          <w:jc w:val="left"/>
        </w:trPr>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971</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17450</w:t>
            </w:r>
          </w:p>
        </w:tc>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FFFFFF" w:val="clear"/>
              </w:rPr>
              <w:t xml:space="preserve">18,421</w:t>
            </w:r>
          </w:p>
        </w:tc>
      </w:tr>
    </w:tbl>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ab/>
        <w:t xml:space="preserve">enfermos</w:t>
        <w:tab/>
        <w:t xml:space="preserve">no enfermos</w:t>
        <w:tab/>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clopidogrel</w:t>
        <w:tab/>
        <w:t xml:space="preserve">491</w:t>
        <w:tab/>
        <w:t xml:space="preserve">8744</w:t>
        <w:tab/>
        <w:t xml:space="preserve">9235</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ticagrelor</w:t>
        <w:tab/>
        <w:t xml:space="preserve">480</w:t>
        <w:tab/>
        <w:t xml:space="preserve">8706</w:t>
        <w:tab/>
        <w:t xml:space="preserve">9186</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tab/>
        <w:t xml:space="preserve">971</w:t>
        <w:tab/>
        <w:t xml:space="preserve">17450</w:t>
        <w:tab/>
        <w:t xml:space="preserve">18,421</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Sensibilidad: 491/491+480= 0.50</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Especificidad: 8706/8744+8706=0.49</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VPP:491/491+8744= 0.05</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VPN:8706/480+8706= 0.94</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RPP:0.50/1-0.49= 0.98</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RPN:1-0.50/0.49= 1.02</w:t>
      </w:r>
    </w:p>
    <w:p>
      <w:pPr>
        <w:spacing w:before="0" w:after="0" w:line="259"/>
        <w:ind w:right="0" w:left="0" w:firstLine="0"/>
        <w:jc w:val="left"/>
        <w:rPr>
          <w:rFonts w:ascii="Arial" w:hAnsi="Arial" w:cs="Arial" w:eastAsia="Arial"/>
          <w:color w:val="000000"/>
          <w:spacing w:val="0"/>
          <w:position w:val="0"/>
          <w:sz w:val="24"/>
          <w:shd w:fill="FFFFFF" w:val="clear"/>
        </w:rPr>
      </w:pP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Exactitud:491+8706/491+8744+480+8706= 9197/18421=0.49</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RR: 491/491+8744</w:t>
      </w:r>
    </w:p>
    <w:p>
      <w:pPr>
        <w:spacing w:before="0" w:after="0" w:line="259"/>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ab/>
        <w:t xml:space="preserve">480/480+8706= 0.05/0.05= 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