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5" w:rsidRDefault="00A3639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9.2pt;margin-top:312.4pt;width:63.75pt;height:57.75pt;z-index:251666432">
            <v:textbox>
              <w:txbxContent>
                <w:p w:rsidR="0094329A" w:rsidRDefault="0094329A">
                  <w:r>
                    <w:t>Casos y control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259.95pt;margin-top:312.4pt;width:63.75pt;height:57.75pt;z-index:251665408">
            <v:textbox>
              <w:txbxContent>
                <w:p w:rsidR="0094329A" w:rsidRDefault="0094329A">
                  <w:r>
                    <w:t>Cohorte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1.7pt;margin-top:277.9pt;width:0;height:26.25pt;z-index:25166438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1" type="#_x0000_t32" style="position:absolute;margin-left:289.2pt;margin-top:277.9pt;width:0;height:30.75pt;z-index:25166336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0" type="#_x0000_t32" style="position:absolute;margin-left:331.95pt;margin-top:277.9pt;width:39.75pt;height:0;z-index:251662336" o:connectortype="straight"/>
        </w:pict>
      </w:r>
      <w:r>
        <w:rPr>
          <w:noProof/>
          <w:lang w:eastAsia="es-MX"/>
        </w:rPr>
        <w:pict>
          <v:shape id="_x0000_s1029" type="#_x0000_t32" style="position:absolute;margin-left:289.2pt;margin-top:277.9pt;width:42.75pt;height:0;flip:x;z-index:251661312" o:connectortype="straight"/>
        </w:pict>
      </w:r>
      <w:r>
        <w:rPr>
          <w:noProof/>
          <w:lang w:eastAsia="es-MX"/>
        </w:rPr>
        <w:pict>
          <v:shape id="_x0000_s1028" type="#_x0000_t32" style="position:absolute;margin-left:331.2pt;margin-top:256.15pt;width:.75pt;height:21.75pt;z-index:251660288" o:connectortype="straight"/>
        </w:pict>
      </w:r>
      <w:r>
        <w:rPr>
          <w:noProof/>
          <w:lang w:eastAsia="es-MX"/>
        </w:rPr>
        <w:pict>
          <v:shape id="_x0000_s1027" type="#_x0000_t32" style="position:absolute;margin-left:79.95pt;margin-top:256.15pt;width:1.5pt;height:48pt;z-index:251659264" o:connectortype="straight">
            <v:stroke endarrow="block"/>
          </v:shape>
        </w:pict>
      </w:r>
      <w:r>
        <w:rPr>
          <w:noProof/>
          <w:lang w:eastAsia="es-MX"/>
        </w:rPr>
        <w:pict>
          <v:rect id="_x0000_s1026" style="position:absolute;margin-left:16.2pt;margin-top:308.65pt;width:147pt;height:376.5pt;z-index:251658240">
            <v:textbox>
              <w:txbxContent>
                <w:p w:rsidR="00956413" w:rsidRPr="00956413" w:rsidRDefault="00956413" w:rsidP="00956413">
                  <w:pPr>
                    <w:rPr>
                      <w:b/>
                      <w:color w:val="000000" w:themeColor="text1"/>
                    </w:rPr>
                  </w:pPr>
                  <w:r w:rsidRPr="00956413">
                    <w:rPr>
                      <w:b/>
                      <w:color w:val="000000" w:themeColor="text1"/>
                      <w:u w:val="single"/>
                      <w:lang w:val="es-ES"/>
                    </w:rPr>
                    <w:t>Objetivo:</w:t>
                  </w:r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determinar la validez de una prueba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diagnostica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en comparación con un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Gold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Standart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.</w:t>
                  </w:r>
                </w:p>
                <w:p w:rsidR="00956413" w:rsidRPr="00956413" w:rsidRDefault="00956413" w:rsidP="00956413">
                  <w:pPr>
                    <w:rPr>
                      <w:b/>
                      <w:color w:val="000000" w:themeColor="text1"/>
                    </w:rPr>
                  </w:pPr>
                  <w:r w:rsidRPr="00956413">
                    <w:rPr>
                      <w:b/>
                      <w:color w:val="000000" w:themeColor="text1"/>
                      <w:u w:val="single"/>
                      <w:lang w:val="es-ES"/>
                    </w:rPr>
                    <w:t>Interpretación con resultados dicotómicos:</w:t>
                  </w:r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Sensibilidad (a/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a+c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), Especificidad (d/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b+d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), Exactitud (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a+b+c+d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), VP+ (a/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a+b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), VP- (d/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c+d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), Prevalencia (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a+c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>/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a+b+c+d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). </w:t>
                  </w:r>
                </w:p>
                <w:p w:rsidR="00956413" w:rsidRPr="00956413" w:rsidRDefault="00956413" w:rsidP="00956413">
                  <w:pPr>
                    <w:rPr>
                      <w:b/>
                      <w:color w:val="000000" w:themeColor="text1"/>
                    </w:rPr>
                  </w:pPr>
                  <w:r w:rsidRPr="00956413">
                    <w:rPr>
                      <w:b/>
                      <w:color w:val="000000" w:themeColor="text1"/>
                      <w:u w:val="single"/>
                      <w:lang w:val="es-ES"/>
                    </w:rPr>
                    <w:t>Interpretación con resultados cuantitativos</w:t>
                  </w:r>
                  <w:r w:rsidRPr="00956413">
                    <w:rPr>
                      <w:b/>
                      <w:color w:val="000000" w:themeColor="text1"/>
                      <w:lang w:val="es-ES"/>
                    </w:rPr>
                    <w:t>: 1</w:t>
                  </w:r>
                  <w:proofErr w:type="gram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)Establecer</w:t>
                  </w:r>
                  <w:proofErr w:type="gram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un nivel de cohorte, 2)Calculo razones de verosimilitud: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Sen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/(1-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Esp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.), 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Oddprep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= proba/(1-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prob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),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Odd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posprub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= </w:t>
                  </w:r>
                  <w:proofErr w:type="spellStart"/>
                  <w:r w:rsidRPr="00956413">
                    <w:rPr>
                      <w:b/>
                      <w:color w:val="000000" w:themeColor="text1"/>
                      <w:lang w:val="es-ES"/>
                    </w:rPr>
                    <w:t>Oddpreprub</w:t>
                  </w:r>
                  <w:proofErr w:type="spellEnd"/>
                  <w:r w:rsidRPr="00956413">
                    <w:rPr>
                      <w:b/>
                      <w:color w:val="000000" w:themeColor="text1"/>
                      <w:lang w:val="es-ES"/>
                    </w:rPr>
                    <w:t xml:space="preserve"> · RV. </w:t>
                  </w:r>
                </w:p>
                <w:p w:rsidR="00956413" w:rsidRPr="00956413" w:rsidRDefault="00956413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956413">
        <w:rPr>
          <w:noProof/>
          <w:lang w:eastAsia="es-MX"/>
        </w:rPr>
        <w:drawing>
          <wp:inline distT="0" distB="0" distL="0" distR="0">
            <wp:extent cx="5486400" cy="3200400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/>
    <w:p w:rsidR="0094329A" w:rsidRDefault="0094329A">
      <w:r>
        <w:rPr>
          <w:noProof/>
          <w:lang w:eastAsia="es-MX"/>
        </w:rPr>
        <w:lastRenderedPageBreak/>
        <w:drawing>
          <wp:inline distT="0" distB="0" distL="0" distR="0">
            <wp:extent cx="5486400" cy="3200400"/>
            <wp:effectExtent l="19050" t="0" r="7620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4329A" w:rsidRDefault="0094329A"/>
    <w:p w:rsidR="0094329A" w:rsidRDefault="0094329A"/>
    <w:p w:rsidR="0094329A" w:rsidRDefault="0094329A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4329A" w:rsidRDefault="0094329A"/>
    <w:p w:rsidR="004C0285" w:rsidRDefault="004C0285"/>
    <w:p w:rsidR="004C0285" w:rsidRDefault="004C0285"/>
    <w:tbl>
      <w:tblPr>
        <w:tblStyle w:val="Tablaconcuadrcula"/>
        <w:tblW w:w="0" w:type="auto"/>
        <w:tblLook w:val="04A0"/>
      </w:tblPr>
      <w:tblGrid>
        <w:gridCol w:w="1352"/>
        <w:gridCol w:w="1441"/>
        <w:gridCol w:w="1515"/>
        <w:gridCol w:w="2147"/>
        <w:gridCol w:w="1326"/>
        <w:gridCol w:w="1273"/>
      </w:tblGrid>
      <w:tr w:rsidR="004A79E2" w:rsidRPr="004A79E2" w:rsidTr="00513DC5">
        <w:tc>
          <w:tcPr>
            <w:tcW w:w="1496" w:type="dxa"/>
          </w:tcPr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lastRenderedPageBreak/>
              <w:t>ESTUDIOS</w:t>
            </w:r>
          </w:p>
        </w:tc>
        <w:tc>
          <w:tcPr>
            <w:tcW w:w="1496" w:type="dxa"/>
          </w:tcPr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TIPO</w:t>
            </w:r>
          </w:p>
        </w:tc>
        <w:tc>
          <w:tcPr>
            <w:tcW w:w="1496" w:type="dxa"/>
          </w:tcPr>
          <w:p w:rsidR="00513DC5" w:rsidRPr="004A79E2" w:rsidRDefault="00C7140B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MEDIDAS DE ASOCIACIÓN</w:t>
            </w:r>
          </w:p>
        </w:tc>
        <w:tc>
          <w:tcPr>
            <w:tcW w:w="1496" w:type="dxa"/>
          </w:tcPr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Formula</w:t>
            </w:r>
          </w:p>
        </w:tc>
        <w:tc>
          <w:tcPr>
            <w:tcW w:w="1497" w:type="dxa"/>
          </w:tcPr>
          <w:p w:rsidR="00513DC5" w:rsidRPr="004A79E2" w:rsidRDefault="00C7140B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SESGOS MAS COMÚNES</w:t>
            </w:r>
          </w:p>
        </w:tc>
        <w:tc>
          <w:tcPr>
            <w:tcW w:w="1497" w:type="dxa"/>
          </w:tcPr>
          <w:p w:rsidR="00513DC5" w:rsidRPr="004A79E2" w:rsidRDefault="00C7140B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ESCALA EN EL NIVEL DE EVIDENCIA</w:t>
            </w:r>
          </w:p>
        </w:tc>
      </w:tr>
      <w:tr w:rsidR="004A79E2" w:rsidRPr="004A79E2" w:rsidTr="00513DC5">
        <w:tc>
          <w:tcPr>
            <w:tcW w:w="1496" w:type="dxa"/>
          </w:tcPr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 xml:space="preserve">Ensayos clínicos </w:t>
            </w:r>
          </w:p>
        </w:tc>
        <w:tc>
          <w:tcPr>
            <w:tcW w:w="1496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Analíticos, Experimental, Longitudinales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</w:p>
        </w:tc>
        <w:tc>
          <w:tcPr>
            <w:tcW w:w="1496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Relación Riesgo Relativo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Relación Riesgo Absoluto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Número Necesario para tratar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Análisis de Intención a Tratar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Aleatorización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* Cegamiento</w:t>
            </w:r>
          </w:p>
        </w:tc>
        <w:tc>
          <w:tcPr>
            <w:tcW w:w="1496" w:type="dxa"/>
          </w:tcPr>
          <w:p w:rsidR="00000000" w:rsidRPr="004A79E2" w:rsidRDefault="00DA0798" w:rsidP="008B72C7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b/>
                <w:bCs/>
                <w:sz w:val="20"/>
                <w:szCs w:val="20"/>
              </w:rPr>
              <w:t>RRR</w:t>
            </w:r>
            <w:proofErr w:type="gramStart"/>
            <w:r w:rsidRPr="004A79E2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="008B72C7" w:rsidRPr="004A79E2">
              <w:rPr>
                <w:rFonts w:cstheme="minorHAnsi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8B72C7" w:rsidRPr="004A79E2">
              <w:rPr>
                <w:rFonts w:cstheme="minorHAnsi"/>
                <w:sz w:val="20"/>
                <w:szCs w:val="20"/>
                <w:u w:val="single"/>
              </w:rPr>
              <w:t>Pc</w:t>
            </w:r>
            <w:r w:rsidRPr="004A79E2">
              <w:rPr>
                <w:rFonts w:cstheme="minorHAnsi"/>
                <w:sz w:val="20"/>
                <w:szCs w:val="20"/>
                <w:u w:val="single"/>
              </w:rPr>
              <w:t>Pt</w:t>
            </w:r>
            <w:proofErr w:type="spellEnd"/>
            <w:r w:rsidRPr="004A79E2">
              <w:rPr>
                <w:rFonts w:cstheme="minorHAnsi"/>
                <w:sz w:val="20"/>
                <w:szCs w:val="20"/>
                <w:u w:val="single"/>
              </w:rPr>
              <w:t>)/</w:t>
            </w:r>
            <w:proofErr w:type="spellStart"/>
            <w:r w:rsidRPr="004A79E2">
              <w:rPr>
                <w:rFonts w:cstheme="minorHAnsi"/>
                <w:sz w:val="20"/>
                <w:szCs w:val="20"/>
                <w:u w:val="single"/>
              </w:rPr>
              <w:t>Pc</w:t>
            </w:r>
            <w:proofErr w:type="spellEnd"/>
            <w:r w:rsidR="008B72C7" w:rsidRPr="004A79E2">
              <w:rPr>
                <w:rFonts w:cstheme="minorHAnsi"/>
                <w:sz w:val="20"/>
                <w:szCs w:val="20"/>
              </w:rPr>
              <w:t xml:space="preserve">  (0.400.20)/0.40=0</w:t>
            </w:r>
            <w:r w:rsidRPr="004A79E2">
              <w:rPr>
                <w:rFonts w:cstheme="minorHAnsi"/>
                <w:sz w:val="20"/>
                <w:szCs w:val="20"/>
              </w:rPr>
              <w:t>(50%)</w:t>
            </w:r>
          </w:p>
          <w:p w:rsidR="00513DC5" w:rsidRPr="004A79E2" w:rsidRDefault="00513DC5" w:rsidP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 xml:space="preserve">    (el riesgo relativo de la enfermedad es 50% menor si se usa el tratamiento B que si se usa el tratamiento A)</w:t>
            </w:r>
          </w:p>
          <w:p w:rsidR="00000000" w:rsidRPr="004A79E2" w:rsidRDefault="00DA0798" w:rsidP="008B72C7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b/>
                <w:bCs/>
                <w:sz w:val="20"/>
                <w:szCs w:val="20"/>
              </w:rPr>
              <w:t>RRA=</w:t>
            </w:r>
            <w:r w:rsidRPr="004A79E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4A79E2">
              <w:rPr>
                <w:rFonts w:cstheme="minorHAnsi"/>
                <w:sz w:val="20"/>
                <w:szCs w:val="20"/>
                <w:u w:val="single"/>
              </w:rPr>
              <w:t>Pc</w:t>
            </w:r>
            <w:proofErr w:type="spellEnd"/>
            <w:r w:rsidRPr="004A79E2">
              <w:rPr>
                <w:rFonts w:cstheme="minorHAnsi"/>
                <w:sz w:val="20"/>
                <w:szCs w:val="20"/>
                <w:u w:val="single"/>
              </w:rPr>
              <w:t xml:space="preserve"> – Pt  </w:t>
            </w:r>
            <w:r w:rsidRPr="004A79E2">
              <w:rPr>
                <w:rFonts w:cstheme="minorHAnsi"/>
                <w:sz w:val="20"/>
                <w:szCs w:val="20"/>
              </w:rPr>
              <w:t>0.40-0.20= 0.20 (20%)</w:t>
            </w:r>
          </w:p>
          <w:p w:rsidR="00513DC5" w:rsidRPr="004A79E2" w:rsidRDefault="00513DC5" w:rsidP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 xml:space="preserve">   ( El riesgo absoluto de la enfermedad es 20 % menor si se toma el tratamiento B que si se toma el tratamiento A)</w:t>
            </w:r>
          </w:p>
          <w:p w:rsidR="00513DC5" w:rsidRPr="004A79E2" w:rsidRDefault="00DA0798" w:rsidP="00513DC5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b/>
                <w:bCs/>
                <w:sz w:val="20"/>
                <w:szCs w:val="20"/>
              </w:rPr>
              <w:t>NNT=</w:t>
            </w:r>
            <w:r w:rsidRPr="004A79E2">
              <w:rPr>
                <w:rFonts w:cstheme="minorHAnsi"/>
                <w:sz w:val="20"/>
                <w:szCs w:val="20"/>
              </w:rPr>
              <w:t xml:space="preserve"> </w:t>
            </w:r>
            <w:r w:rsidRPr="004A79E2">
              <w:rPr>
                <w:rFonts w:cstheme="minorHAnsi"/>
                <w:sz w:val="20"/>
                <w:szCs w:val="20"/>
                <w:u w:val="single"/>
              </w:rPr>
              <w:t>1/ RR</w:t>
            </w:r>
            <w:r w:rsidRPr="004A79E2">
              <w:rPr>
                <w:rFonts w:cstheme="minorHAnsi"/>
                <w:sz w:val="20"/>
                <w:szCs w:val="20"/>
              </w:rPr>
              <w:t>A  1/0.20= 5</w:t>
            </w:r>
            <w:r w:rsidR="008B72C7" w:rsidRPr="004A79E2">
              <w:rPr>
                <w:rFonts w:cstheme="minorHAnsi"/>
                <w:sz w:val="20"/>
                <w:szCs w:val="20"/>
              </w:rPr>
              <w:t xml:space="preserve"> </w:t>
            </w:r>
            <w:r w:rsidR="00513DC5" w:rsidRPr="004A79E2">
              <w:rPr>
                <w:rFonts w:cstheme="minorHAnsi"/>
                <w:sz w:val="20"/>
                <w:szCs w:val="20"/>
              </w:rPr>
              <w:t xml:space="preserve">( 5 es el </w:t>
            </w:r>
            <w:proofErr w:type="spellStart"/>
            <w:r w:rsidR="00513DC5" w:rsidRPr="004A79E2">
              <w:rPr>
                <w:rFonts w:cstheme="minorHAnsi"/>
                <w:sz w:val="20"/>
                <w:szCs w:val="20"/>
              </w:rPr>
              <w:t>numero</w:t>
            </w:r>
            <w:proofErr w:type="spellEnd"/>
            <w:r w:rsidR="00513DC5" w:rsidRPr="004A79E2">
              <w:rPr>
                <w:rFonts w:cstheme="minorHAnsi"/>
                <w:sz w:val="20"/>
                <w:szCs w:val="20"/>
              </w:rPr>
              <w:t xml:space="preserve"> de pacientes que deben de tratado para evitar la ocurrencia de un evento de la enfermedad) </w:t>
            </w:r>
          </w:p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 Muestra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Por Criterios de Inclusión y Exclusión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 Cegamiento</w:t>
            </w:r>
          </w:p>
        </w:tc>
        <w:tc>
          <w:tcPr>
            <w:tcW w:w="1497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IB y IIA</w:t>
            </w:r>
          </w:p>
        </w:tc>
      </w:tr>
      <w:tr w:rsidR="004A79E2" w:rsidRPr="004A79E2" w:rsidTr="00513DC5">
        <w:tc>
          <w:tcPr>
            <w:tcW w:w="1496" w:type="dxa"/>
          </w:tcPr>
          <w:p w:rsidR="00513DC5" w:rsidRPr="004A79E2" w:rsidRDefault="008B72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A79E2">
              <w:rPr>
                <w:rFonts w:cstheme="minorHAnsi"/>
                <w:sz w:val="20"/>
                <w:szCs w:val="20"/>
              </w:rPr>
              <w:t>Metaanalisis</w:t>
            </w:r>
            <w:proofErr w:type="spellEnd"/>
            <w:r w:rsidRPr="004A79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Revisión Sistemática de varios Ensayos Clínicos</w:t>
            </w:r>
          </w:p>
        </w:tc>
        <w:tc>
          <w:tcPr>
            <w:tcW w:w="1496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Pruebas de Homogeneidad: Efectos Fijos/Efectos al Azar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Metarregresión</w:t>
            </w:r>
            <w:proofErr w:type="spellEnd"/>
          </w:p>
        </w:tc>
        <w:tc>
          <w:tcPr>
            <w:tcW w:w="1496" w:type="dxa"/>
          </w:tcPr>
          <w:p w:rsidR="00513DC5" w:rsidRPr="004A79E2" w:rsidRDefault="004A79E2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No hay formulas</w:t>
            </w:r>
          </w:p>
        </w:tc>
        <w:tc>
          <w:tcPr>
            <w:tcW w:w="1497" w:type="dxa"/>
          </w:tcPr>
          <w:p w:rsidR="00513DC5" w:rsidRPr="004A79E2" w:rsidRDefault="00CE0B03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 Publicación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 Selección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 Extracción de Datos</w:t>
            </w:r>
          </w:p>
        </w:tc>
        <w:tc>
          <w:tcPr>
            <w:tcW w:w="1497" w:type="dxa"/>
          </w:tcPr>
          <w:p w:rsidR="00513DC5" w:rsidRPr="004A79E2" w:rsidRDefault="004A79E2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IB</w:t>
            </w:r>
          </w:p>
        </w:tc>
      </w:tr>
      <w:tr w:rsidR="004A79E2" w:rsidRPr="004A79E2" w:rsidTr="00513DC5">
        <w:tc>
          <w:tcPr>
            <w:tcW w:w="1496" w:type="dxa"/>
          </w:tcPr>
          <w:p w:rsidR="00513DC5" w:rsidRPr="004A79E2" w:rsidRDefault="00C714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A79E2">
              <w:rPr>
                <w:rFonts w:cstheme="minorHAnsi"/>
                <w:sz w:val="20"/>
                <w:szCs w:val="20"/>
              </w:rPr>
              <w:t>Tamizaje</w:t>
            </w:r>
            <w:proofErr w:type="spellEnd"/>
            <w:r w:rsidRPr="004A79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513DC5" w:rsidRPr="004A79E2" w:rsidRDefault="004A79E2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Analíticos, </w:t>
            </w:r>
            <w:proofErr w:type="spellStart"/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Experimentals</w:t>
            </w:r>
            <w:proofErr w:type="spellEnd"/>
          </w:p>
        </w:tc>
        <w:tc>
          <w:tcPr>
            <w:tcW w:w="1496" w:type="dxa"/>
          </w:tcPr>
          <w:p w:rsidR="00513DC5" w:rsidRPr="004A79E2" w:rsidRDefault="00513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13DC5" w:rsidRPr="004A79E2" w:rsidRDefault="004A79E2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sz w:val="20"/>
                <w:szCs w:val="20"/>
              </w:rPr>
              <w:t>No hay formulas</w:t>
            </w:r>
          </w:p>
        </w:tc>
        <w:tc>
          <w:tcPr>
            <w:tcW w:w="1497" w:type="dxa"/>
          </w:tcPr>
          <w:p w:rsidR="00513DC5" w:rsidRPr="004A79E2" w:rsidRDefault="004A79E2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 Adelanto</w:t>
            </w:r>
            <w:r w:rsidRPr="004A79E2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De Longitud y Tiempo</w:t>
            </w:r>
          </w:p>
        </w:tc>
        <w:tc>
          <w:tcPr>
            <w:tcW w:w="1497" w:type="dxa"/>
          </w:tcPr>
          <w:p w:rsidR="00513DC5" w:rsidRPr="004A79E2" w:rsidRDefault="004A79E2">
            <w:pPr>
              <w:rPr>
                <w:rFonts w:cstheme="minorHAnsi"/>
                <w:sz w:val="20"/>
                <w:szCs w:val="20"/>
              </w:rPr>
            </w:pPr>
            <w:r w:rsidRPr="004A79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IB</w:t>
            </w:r>
          </w:p>
        </w:tc>
      </w:tr>
    </w:tbl>
    <w:p w:rsidR="004C0285" w:rsidRDefault="004C0285">
      <w:pPr>
        <w:rPr>
          <w:rFonts w:ascii="Arial" w:hAnsi="Arial" w:cs="Arial"/>
          <w:sz w:val="20"/>
          <w:szCs w:val="20"/>
        </w:rPr>
      </w:pPr>
    </w:p>
    <w:p w:rsidR="006D7655" w:rsidRDefault="006D7655">
      <w:pPr>
        <w:rPr>
          <w:rFonts w:ascii="Arial" w:hAnsi="Arial" w:cs="Arial"/>
          <w:sz w:val="20"/>
          <w:szCs w:val="20"/>
        </w:rPr>
      </w:pPr>
    </w:p>
    <w:p w:rsidR="006D7655" w:rsidRPr="006D7655" w:rsidRDefault="006D7655" w:rsidP="006D765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 INTEGRADORA 2</w:t>
      </w:r>
    </w:p>
    <w:sectPr w:rsidR="006D7655" w:rsidRPr="006D7655" w:rsidSect="00314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DC"/>
    <w:multiLevelType w:val="hybridMultilevel"/>
    <w:tmpl w:val="77EE71A0"/>
    <w:lvl w:ilvl="0" w:tplc="84760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ED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09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AB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20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80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5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4D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0C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730D7"/>
    <w:multiLevelType w:val="hybridMultilevel"/>
    <w:tmpl w:val="E772AE08"/>
    <w:lvl w:ilvl="0" w:tplc="1BA25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286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F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2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20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A4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8E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F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1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E70D4"/>
    <w:multiLevelType w:val="hybridMultilevel"/>
    <w:tmpl w:val="B7AA79BC"/>
    <w:lvl w:ilvl="0" w:tplc="9E2A3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04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23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D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62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D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40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C2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D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413"/>
    <w:rsid w:val="001F1E7F"/>
    <w:rsid w:val="00314105"/>
    <w:rsid w:val="004A79E2"/>
    <w:rsid w:val="004C0285"/>
    <w:rsid w:val="00513DC5"/>
    <w:rsid w:val="006D7655"/>
    <w:rsid w:val="007B36C3"/>
    <w:rsid w:val="008B72C7"/>
    <w:rsid w:val="0094329A"/>
    <w:rsid w:val="00956413"/>
    <w:rsid w:val="00A36397"/>
    <w:rsid w:val="00BD0B89"/>
    <w:rsid w:val="00C7140B"/>
    <w:rsid w:val="00CE0B03"/>
    <w:rsid w:val="00DA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1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4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A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19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36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EA1AE-EC6A-4662-9AA3-A0CCF159637D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D86F5EF-DA07-4107-A8DF-C575384B5BAA}">
      <dgm:prSet phldrT="[Texto]"/>
      <dgm:spPr/>
      <dgm:t>
        <a:bodyPr/>
        <a:lstStyle/>
        <a:p>
          <a:r>
            <a:rPr lang="es-MX"/>
            <a:t>Tipos de estudios</a:t>
          </a:r>
        </a:p>
      </dgm:t>
    </dgm:pt>
    <dgm:pt modelId="{58C6C1BF-2204-4B31-B324-4349C160CFD3}" type="parTrans" cxnId="{B39F0F48-0CEE-4701-B657-D70704CC746E}">
      <dgm:prSet/>
      <dgm:spPr/>
      <dgm:t>
        <a:bodyPr/>
        <a:lstStyle/>
        <a:p>
          <a:endParaRPr lang="es-MX"/>
        </a:p>
      </dgm:t>
    </dgm:pt>
    <dgm:pt modelId="{2C9939DA-F2F6-470A-A04B-A45ECA632563}" type="sibTrans" cxnId="{B39F0F48-0CEE-4701-B657-D70704CC746E}">
      <dgm:prSet/>
      <dgm:spPr/>
      <dgm:t>
        <a:bodyPr/>
        <a:lstStyle/>
        <a:p>
          <a:endParaRPr lang="es-MX"/>
        </a:p>
      </dgm:t>
    </dgm:pt>
    <dgm:pt modelId="{E4E3B2A0-2B76-4130-BC98-C002FC652977}">
      <dgm:prSet phldrT="[Texto]"/>
      <dgm:spPr/>
      <dgm:t>
        <a:bodyPr/>
        <a:lstStyle/>
        <a:p>
          <a:r>
            <a:rPr lang="es-MX"/>
            <a:t>Estudios de pruebas diagnosticas </a:t>
          </a:r>
        </a:p>
      </dgm:t>
    </dgm:pt>
    <dgm:pt modelId="{20452C4D-CAE2-4595-86B3-5C3DB1A744DE}" type="parTrans" cxnId="{C7D03D19-0AE8-4464-A45D-85DFED53F6A1}">
      <dgm:prSet/>
      <dgm:spPr/>
      <dgm:t>
        <a:bodyPr/>
        <a:lstStyle/>
        <a:p>
          <a:endParaRPr lang="es-MX"/>
        </a:p>
      </dgm:t>
    </dgm:pt>
    <dgm:pt modelId="{59FF59F1-2319-40C8-9BB4-C689E4552BA1}" type="sibTrans" cxnId="{C7D03D19-0AE8-4464-A45D-85DFED53F6A1}">
      <dgm:prSet/>
      <dgm:spPr/>
      <dgm:t>
        <a:bodyPr/>
        <a:lstStyle/>
        <a:p>
          <a:endParaRPr lang="es-MX"/>
        </a:p>
      </dgm:t>
    </dgm:pt>
    <dgm:pt modelId="{E1640DC5-532B-4A40-A677-78A8D3079038}">
      <dgm:prSet phldrT="[Texto]"/>
      <dgm:spPr/>
      <dgm:t>
        <a:bodyPr/>
        <a:lstStyle/>
        <a:p>
          <a:r>
            <a:rPr lang="es-ES" b="1"/>
            <a:t>Longitudinales </a:t>
          </a:r>
          <a:endParaRPr lang="es-MX"/>
        </a:p>
        <a:p>
          <a:r>
            <a:rPr lang="es-ES" b="1"/>
            <a:t>Analíticos </a:t>
          </a:r>
          <a:endParaRPr lang="es-MX"/>
        </a:p>
        <a:p>
          <a:r>
            <a:rPr lang="es-ES" b="1"/>
            <a:t>Observacionales </a:t>
          </a:r>
          <a:endParaRPr lang="es-MX"/>
        </a:p>
        <a:p>
          <a:r>
            <a:rPr lang="es-ES" b="1"/>
            <a:t>Asociación-Riesgo </a:t>
          </a:r>
          <a:endParaRPr lang="es-MX"/>
        </a:p>
      </dgm:t>
    </dgm:pt>
    <dgm:pt modelId="{98FF8E60-DA12-4DE5-A672-D72B1F36BDB5}" type="parTrans" cxnId="{99C5E4B7-75AD-49F1-92C8-0947A8434E70}">
      <dgm:prSet/>
      <dgm:spPr/>
      <dgm:t>
        <a:bodyPr/>
        <a:lstStyle/>
        <a:p>
          <a:endParaRPr lang="es-MX"/>
        </a:p>
      </dgm:t>
    </dgm:pt>
    <dgm:pt modelId="{B452CDDC-963E-482B-97A1-63FBF736C485}" type="sibTrans" cxnId="{99C5E4B7-75AD-49F1-92C8-0947A8434E70}">
      <dgm:prSet/>
      <dgm:spPr/>
      <dgm:t>
        <a:bodyPr/>
        <a:lstStyle/>
        <a:p>
          <a:endParaRPr lang="es-MX"/>
        </a:p>
      </dgm:t>
    </dgm:pt>
    <dgm:pt modelId="{616226C3-5612-40D5-8942-FEDF931B9C7E}" type="pres">
      <dgm:prSet presAssocID="{801EA1AE-EC6A-4662-9AA3-A0CCF159637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495A70FB-6AF7-42B2-BDC3-BA8950499553}" type="pres">
      <dgm:prSet presAssocID="{DD86F5EF-DA07-4107-A8DF-C575384B5BAA}" presName="roof" presStyleLbl="dkBgShp" presStyleIdx="0" presStyleCnt="2"/>
      <dgm:spPr/>
      <dgm:t>
        <a:bodyPr/>
        <a:lstStyle/>
        <a:p>
          <a:endParaRPr lang="es-MX"/>
        </a:p>
      </dgm:t>
    </dgm:pt>
    <dgm:pt modelId="{CB33A1E6-268E-4063-9683-C7AD977E4EDB}" type="pres">
      <dgm:prSet presAssocID="{DD86F5EF-DA07-4107-A8DF-C575384B5BAA}" presName="pillars" presStyleCnt="0"/>
      <dgm:spPr/>
    </dgm:pt>
    <dgm:pt modelId="{B5605AC7-133B-42E8-B27D-7E730D624351}" type="pres">
      <dgm:prSet presAssocID="{DD86F5EF-DA07-4107-A8DF-C575384B5BAA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87310A5-AE1D-43C8-953C-00BF99C9785A}" type="pres">
      <dgm:prSet presAssocID="{E1640DC5-532B-4A40-A677-78A8D3079038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96D24E2-A03A-4B35-B4F2-877BA27DB539}" type="pres">
      <dgm:prSet presAssocID="{DD86F5EF-DA07-4107-A8DF-C575384B5BAA}" presName="base" presStyleLbl="dkBgShp" presStyleIdx="1" presStyleCnt="2"/>
      <dgm:spPr/>
    </dgm:pt>
  </dgm:ptLst>
  <dgm:cxnLst>
    <dgm:cxn modelId="{C7D03D19-0AE8-4464-A45D-85DFED53F6A1}" srcId="{DD86F5EF-DA07-4107-A8DF-C575384B5BAA}" destId="{E4E3B2A0-2B76-4130-BC98-C002FC652977}" srcOrd="0" destOrd="0" parTransId="{20452C4D-CAE2-4595-86B3-5C3DB1A744DE}" sibTransId="{59FF59F1-2319-40C8-9BB4-C689E4552BA1}"/>
    <dgm:cxn modelId="{F1789CCC-9374-45C0-8D10-EABD436FB0D4}" type="presOf" srcId="{801EA1AE-EC6A-4662-9AA3-A0CCF159637D}" destId="{616226C3-5612-40D5-8942-FEDF931B9C7E}" srcOrd="0" destOrd="0" presId="urn:microsoft.com/office/officeart/2005/8/layout/hList3"/>
    <dgm:cxn modelId="{6169185D-25FB-4270-A5F0-8F391B0C20F7}" type="presOf" srcId="{DD86F5EF-DA07-4107-A8DF-C575384B5BAA}" destId="{495A70FB-6AF7-42B2-BDC3-BA8950499553}" srcOrd="0" destOrd="0" presId="urn:microsoft.com/office/officeart/2005/8/layout/hList3"/>
    <dgm:cxn modelId="{3F6E786C-9F2E-4B50-AD4D-297C22B6007C}" type="presOf" srcId="{E4E3B2A0-2B76-4130-BC98-C002FC652977}" destId="{B5605AC7-133B-42E8-B27D-7E730D624351}" srcOrd="0" destOrd="0" presId="urn:microsoft.com/office/officeart/2005/8/layout/hList3"/>
    <dgm:cxn modelId="{99C5E4B7-75AD-49F1-92C8-0947A8434E70}" srcId="{DD86F5EF-DA07-4107-A8DF-C575384B5BAA}" destId="{E1640DC5-532B-4A40-A677-78A8D3079038}" srcOrd="1" destOrd="0" parTransId="{98FF8E60-DA12-4DE5-A672-D72B1F36BDB5}" sibTransId="{B452CDDC-963E-482B-97A1-63FBF736C485}"/>
    <dgm:cxn modelId="{B39F0F48-0CEE-4701-B657-D70704CC746E}" srcId="{801EA1AE-EC6A-4662-9AA3-A0CCF159637D}" destId="{DD86F5EF-DA07-4107-A8DF-C575384B5BAA}" srcOrd="0" destOrd="0" parTransId="{58C6C1BF-2204-4B31-B324-4349C160CFD3}" sibTransId="{2C9939DA-F2F6-470A-A04B-A45ECA632563}"/>
    <dgm:cxn modelId="{899DF0E3-2D21-47F5-B9A9-AEE382EF810C}" type="presOf" srcId="{E1640DC5-532B-4A40-A677-78A8D3079038}" destId="{D87310A5-AE1D-43C8-953C-00BF99C9785A}" srcOrd="0" destOrd="0" presId="urn:microsoft.com/office/officeart/2005/8/layout/hList3"/>
    <dgm:cxn modelId="{820C8C0D-CA67-4FD0-BF6D-7E60ED2F508A}" type="presParOf" srcId="{616226C3-5612-40D5-8942-FEDF931B9C7E}" destId="{495A70FB-6AF7-42B2-BDC3-BA8950499553}" srcOrd="0" destOrd="0" presId="urn:microsoft.com/office/officeart/2005/8/layout/hList3"/>
    <dgm:cxn modelId="{28B2197C-C023-42C3-B8D2-261399E16BED}" type="presParOf" srcId="{616226C3-5612-40D5-8942-FEDF931B9C7E}" destId="{CB33A1E6-268E-4063-9683-C7AD977E4EDB}" srcOrd="1" destOrd="0" presId="urn:microsoft.com/office/officeart/2005/8/layout/hList3"/>
    <dgm:cxn modelId="{7ACD554A-185F-4253-BB2B-BAD5776F1CC7}" type="presParOf" srcId="{CB33A1E6-268E-4063-9683-C7AD977E4EDB}" destId="{B5605AC7-133B-42E8-B27D-7E730D624351}" srcOrd="0" destOrd="0" presId="urn:microsoft.com/office/officeart/2005/8/layout/hList3"/>
    <dgm:cxn modelId="{E34449F1-EF28-4058-876E-50C71DE04CA3}" type="presParOf" srcId="{CB33A1E6-268E-4063-9683-C7AD977E4EDB}" destId="{D87310A5-AE1D-43C8-953C-00BF99C9785A}" srcOrd="1" destOrd="0" presId="urn:microsoft.com/office/officeart/2005/8/layout/hList3"/>
    <dgm:cxn modelId="{994EDC64-0C3F-471B-AE5D-90E40EF975EA}" type="presParOf" srcId="{616226C3-5612-40D5-8942-FEDF931B9C7E}" destId="{296D24E2-A03A-4B35-B4F2-877BA27DB53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5E735D-025D-4A68-9075-6D4EFD402665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1394827-6674-4700-83F2-F1AC738542C2}">
      <dgm:prSet phldrT="[Texto]"/>
      <dgm:spPr/>
      <dgm:t>
        <a:bodyPr/>
        <a:lstStyle/>
        <a:p>
          <a:r>
            <a:rPr lang="es-MX"/>
            <a:t>Cohorte</a:t>
          </a:r>
        </a:p>
      </dgm:t>
    </dgm:pt>
    <dgm:pt modelId="{15DF6E5F-29F7-4599-8CBC-C53E2574AB87}" type="parTrans" cxnId="{B3EEA2C7-0F92-4450-BBD4-9FD5196402A9}">
      <dgm:prSet/>
      <dgm:spPr/>
      <dgm:t>
        <a:bodyPr/>
        <a:lstStyle/>
        <a:p>
          <a:endParaRPr lang="es-MX"/>
        </a:p>
      </dgm:t>
    </dgm:pt>
    <dgm:pt modelId="{33787619-6A15-4077-881C-B803349F51A0}" type="sibTrans" cxnId="{B3EEA2C7-0F92-4450-BBD4-9FD5196402A9}">
      <dgm:prSet/>
      <dgm:spPr/>
      <dgm:t>
        <a:bodyPr/>
        <a:lstStyle/>
        <a:p>
          <a:endParaRPr lang="es-MX"/>
        </a:p>
      </dgm:t>
    </dgm:pt>
    <dgm:pt modelId="{1F6B0996-B9AF-4D13-A00B-953943977ECE}">
      <dgm:prSet phldrT="[Texto]"/>
      <dgm:spPr/>
      <dgm:t>
        <a:bodyPr/>
        <a:lstStyle/>
        <a:p>
          <a:r>
            <a:rPr lang="es-ES" b="1"/>
            <a:t>El investigador identifica a  dos grupos de individuos expuestos y no expuestos, los estudia durante un periodo, calcula la incidencia  del evento de interés en cada grupo y finalmente combara dichas incidencias.</a:t>
          </a:r>
          <a:endParaRPr lang="es-MX"/>
        </a:p>
      </dgm:t>
    </dgm:pt>
    <dgm:pt modelId="{090D1E58-3621-486D-B036-3AFC5FF4D414}" type="parTrans" cxnId="{F71AAC0D-672D-4FCE-B53D-EBDB5F74C300}">
      <dgm:prSet/>
      <dgm:spPr/>
      <dgm:t>
        <a:bodyPr/>
        <a:lstStyle/>
        <a:p>
          <a:endParaRPr lang="es-MX"/>
        </a:p>
      </dgm:t>
    </dgm:pt>
    <dgm:pt modelId="{F3AA50AF-AF57-4C91-9F6C-E0975F41778D}" type="sibTrans" cxnId="{F71AAC0D-672D-4FCE-B53D-EBDB5F74C300}">
      <dgm:prSet/>
      <dgm:spPr/>
      <dgm:t>
        <a:bodyPr/>
        <a:lstStyle/>
        <a:p>
          <a:endParaRPr lang="es-MX"/>
        </a:p>
      </dgm:t>
    </dgm:pt>
    <dgm:pt modelId="{ECB2CD06-50EA-4DAC-8983-FA4F29F8163D}">
      <dgm:prSet phldrT="[Texto]"/>
      <dgm:spPr/>
      <dgm:t>
        <a:bodyPr/>
        <a:lstStyle/>
        <a:p>
          <a:r>
            <a:rPr lang="es-MX" b="1"/>
            <a:t>* </a:t>
          </a:r>
          <a:r>
            <a:rPr lang="es-ES" b="1"/>
            <a:t>Medidas de asociación:  CIE= a/a+b, CI0= c/c+d, RR= CIE/CIO, RA= CIE-CIO, %RA= RA/CIE (100).</a:t>
          </a:r>
          <a:endParaRPr lang="es-MX"/>
        </a:p>
      </dgm:t>
    </dgm:pt>
    <dgm:pt modelId="{0C8E114B-3525-48CA-A285-6050550094E8}" type="parTrans" cxnId="{B993B641-2FD6-4058-9A92-5AA190FC2F41}">
      <dgm:prSet/>
      <dgm:spPr/>
      <dgm:t>
        <a:bodyPr/>
        <a:lstStyle/>
        <a:p>
          <a:endParaRPr lang="es-MX"/>
        </a:p>
      </dgm:t>
    </dgm:pt>
    <dgm:pt modelId="{ED32C314-0743-4320-8497-A7D60AF20ACB}" type="sibTrans" cxnId="{B993B641-2FD6-4058-9A92-5AA190FC2F41}">
      <dgm:prSet/>
      <dgm:spPr/>
      <dgm:t>
        <a:bodyPr/>
        <a:lstStyle/>
        <a:p>
          <a:endParaRPr lang="es-MX"/>
        </a:p>
      </dgm:t>
    </dgm:pt>
    <dgm:pt modelId="{F801A5E8-17E2-41C8-8452-B072516C7A33}">
      <dgm:prSet phldrT="[Texto]"/>
      <dgm:spPr/>
      <dgm:t>
        <a:bodyPr/>
        <a:lstStyle/>
        <a:p>
          <a:r>
            <a:rPr lang="es-MX"/>
            <a:t>Casos y control</a:t>
          </a:r>
        </a:p>
      </dgm:t>
    </dgm:pt>
    <dgm:pt modelId="{072D3A43-ED2F-443F-8908-D973A9B30F52}" type="parTrans" cxnId="{45F32FA2-D875-43B5-8D8E-040D8DD4BBBB}">
      <dgm:prSet/>
      <dgm:spPr/>
      <dgm:t>
        <a:bodyPr/>
        <a:lstStyle/>
        <a:p>
          <a:endParaRPr lang="es-MX"/>
        </a:p>
      </dgm:t>
    </dgm:pt>
    <dgm:pt modelId="{D1B5538B-1320-45BB-9793-0A751D8AACFA}" type="sibTrans" cxnId="{45F32FA2-D875-43B5-8D8E-040D8DD4BBBB}">
      <dgm:prSet/>
      <dgm:spPr/>
      <dgm:t>
        <a:bodyPr/>
        <a:lstStyle/>
        <a:p>
          <a:endParaRPr lang="es-MX"/>
        </a:p>
      </dgm:t>
    </dgm:pt>
    <dgm:pt modelId="{895E6D76-D18E-40F1-8589-C823328C18F6}">
      <dgm:prSet phldrT="[Texto]"/>
      <dgm:spPr/>
      <dgm:t>
        <a:bodyPr/>
        <a:lstStyle/>
        <a:p>
          <a:r>
            <a:rPr lang="es-ES" b="1"/>
            <a:t>Se identifican individuos que tienen una enfermedad y se compara simultáneamente la  exposición  a factores de riesgo con un grupo que no la tiene.</a:t>
          </a:r>
          <a:endParaRPr lang="es-MX"/>
        </a:p>
      </dgm:t>
    </dgm:pt>
    <dgm:pt modelId="{2B62C3A6-526B-4635-B1B1-6CADB4468FF1}" type="parTrans" cxnId="{DE8A4B30-500A-434D-9A4D-1DFA922BCB73}">
      <dgm:prSet/>
      <dgm:spPr/>
      <dgm:t>
        <a:bodyPr/>
        <a:lstStyle/>
        <a:p>
          <a:endParaRPr lang="es-MX"/>
        </a:p>
      </dgm:t>
    </dgm:pt>
    <dgm:pt modelId="{7CD7CD65-6594-4C3F-B6B6-B92A816CC92D}" type="sibTrans" cxnId="{DE8A4B30-500A-434D-9A4D-1DFA922BCB73}">
      <dgm:prSet/>
      <dgm:spPr/>
      <dgm:t>
        <a:bodyPr/>
        <a:lstStyle/>
        <a:p>
          <a:endParaRPr lang="es-MX"/>
        </a:p>
      </dgm:t>
    </dgm:pt>
    <dgm:pt modelId="{C0BC00C2-4195-496C-A794-2430C904402D}">
      <dgm:prSet/>
      <dgm:spPr/>
      <dgm:t>
        <a:bodyPr/>
        <a:lstStyle/>
        <a:p>
          <a:r>
            <a:rPr lang="es-ES" b="1"/>
            <a:t>Medidas de asociacion: Razon de momios es matematicamente equivalente al RR. OR= ad/bc</a:t>
          </a:r>
          <a:endParaRPr lang="es-MX"/>
        </a:p>
      </dgm:t>
    </dgm:pt>
    <dgm:pt modelId="{D7C4BF4C-33E4-468B-A0B2-4FE0A87DA953}" type="parTrans" cxnId="{1437910E-6105-4C0A-868D-17E7DD7AD641}">
      <dgm:prSet/>
      <dgm:spPr/>
      <dgm:t>
        <a:bodyPr/>
        <a:lstStyle/>
        <a:p>
          <a:endParaRPr lang="es-MX"/>
        </a:p>
      </dgm:t>
    </dgm:pt>
    <dgm:pt modelId="{D5C432DE-B584-4CEC-A66C-F7C883D86425}" type="sibTrans" cxnId="{1437910E-6105-4C0A-868D-17E7DD7AD641}">
      <dgm:prSet/>
      <dgm:spPr/>
      <dgm:t>
        <a:bodyPr/>
        <a:lstStyle/>
        <a:p>
          <a:endParaRPr lang="es-MX"/>
        </a:p>
      </dgm:t>
    </dgm:pt>
    <dgm:pt modelId="{ABE9DF8C-D2A1-4312-AFC7-C80955D4F2B1}" type="pres">
      <dgm:prSet presAssocID="{875E735D-025D-4A68-9075-6D4EFD4026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8C50E26-40A0-445D-8788-FEFD2B15FEA1}" type="pres">
      <dgm:prSet presAssocID="{91394827-6674-4700-83F2-F1AC738542C2}" presName="vertFlow" presStyleCnt="0"/>
      <dgm:spPr/>
    </dgm:pt>
    <dgm:pt modelId="{085AAB00-E2CE-4ED2-A314-F14558E11904}" type="pres">
      <dgm:prSet presAssocID="{91394827-6674-4700-83F2-F1AC738542C2}" presName="header" presStyleLbl="node1" presStyleIdx="0" presStyleCnt="2"/>
      <dgm:spPr/>
      <dgm:t>
        <a:bodyPr/>
        <a:lstStyle/>
        <a:p>
          <a:endParaRPr lang="es-MX"/>
        </a:p>
      </dgm:t>
    </dgm:pt>
    <dgm:pt modelId="{2EB422B7-D620-429A-A5B3-413C6F2E7D01}" type="pres">
      <dgm:prSet presAssocID="{090D1E58-3621-486D-B036-3AFC5FF4D414}" presName="parTrans" presStyleLbl="sibTrans2D1" presStyleIdx="0" presStyleCnt="4"/>
      <dgm:spPr/>
      <dgm:t>
        <a:bodyPr/>
        <a:lstStyle/>
        <a:p>
          <a:endParaRPr lang="es-MX"/>
        </a:p>
      </dgm:t>
    </dgm:pt>
    <dgm:pt modelId="{AB4E4421-4C7E-4ABF-9BB4-AB267DF3A046}" type="pres">
      <dgm:prSet presAssocID="{1F6B0996-B9AF-4D13-A00B-953943977ECE}" presName="child" presStyleLbl="alignAccFollow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92D7FF-F72E-4D46-874E-F904C3C76DE3}" type="pres">
      <dgm:prSet presAssocID="{F3AA50AF-AF57-4C91-9F6C-E0975F41778D}" presName="sibTrans" presStyleLbl="sibTrans2D1" presStyleIdx="1" presStyleCnt="4"/>
      <dgm:spPr/>
      <dgm:t>
        <a:bodyPr/>
        <a:lstStyle/>
        <a:p>
          <a:endParaRPr lang="es-MX"/>
        </a:p>
      </dgm:t>
    </dgm:pt>
    <dgm:pt modelId="{BE06D1F8-4914-4E45-8132-6117DA2F9747}" type="pres">
      <dgm:prSet presAssocID="{ECB2CD06-50EA-4DAC-8983-FA4F29F8163D}" presName="child" presStyleLbl="alignAccFollow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1FF4E12-B2BB-40F5-BEA2-E3F49501E81A}" type="pres">
      <dgm:prSet presAssocID="{91394827-6674-4700-83F2-F1AC738542C2}" presName="hSp" presStyleCnt="0"/>
      <dgm:spPr/>
    </dgm:pt>
    <dgm:pt modelId="{EAB4F818-DB1A-45F6-88D3-9EC1528DE41D}" type="pres">
      <dgm:prSet presAssocID="{F801A5E8-17E2-41C8-8452-B072516C7A33}" presName="vertFlow" presStyleCnt="0"/>
      <dgm:spPr/>
    </dgm:pt>
    <dgm:pt modelId="{40FB0DF4-CE23-4460-9432-8E7AD5619751}" type="pres">
      <dgm:prSet presAssocID="{F801A5E8-17E2-41C8-8452-B072516C7A33}" presName="header" presStyleLbl="node1" presStyleIdx="1" presStyleCnt="2"/>
      <dgm:spPr/>
      <dgm:t>
        <a:bodyPr/>
        <a:lstStyle/>
        <a:p>
          <a:endParaRPr lang="es-MX"/>
        </a:p>
      </dgm:t>
    </dgm:pt>
    <dgm:pt modelId="{F618AFD2-64D8-487A-B466-4140D9477B17}" type="pres">
      <dgm:prSet presAssocID="{2B62C3A6-526B-4635-B1B1-6CADB4468FF1}" presName="parTrans" presStyleLbl="sibTrans2D1" presStyleIdx="2" presStyleCnt="4"/>
      <dgm:spPr/>
      <dgm:t>
        <a:bodyPr/>
        <a:lstStyle/>
        <a:p>
          <a:endParaRPr lang="es-MX"/>
        </a:p>
      </dgm:t>
    </dgm:pt>
    <dgm:pt modelId="{EE99CF9E-5D7C-43F0-9449-E0B69C183FDD}" type="pres">
      <dgm:prSet presAssocID="{895E6D76-D18E-40F1-8589-C823328C18F6}" presName="child" presStyleLbl="alignAccFollow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27B9B0-4A63-4325-B049-E7485795F842}" type="pres">
      <dgm:prSet presAssocID="{7CD7CD65-6594-4C3F-B6B6-B92A816CC92D}" presName="sibTrans" presStyleLbl="sibTrans2D1" presStyleIdx="3" presStyleCnt="4"/>
      <dgm:spPr/>
      <dgm:t>
        <a:bodyPr/>
        <a:lstStyle/>
        <a:p>
          <a:endParaRPr lang="es-MX"/>
        </a:p>
      </dgm:t>
    </dgm:pt>
    <dgm:pt modelId="{8BB662D6-B4CF-42D3-804D-1917C0DAD060}" type="pres">
      <dgm:prSet presAssocID="{C0BC00C2-4195-496C-A794-2430C904402D}" presName="child" presStyleLbl="alignAccFollow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6F0C8DA-1F62-43AA-9AC4-FDF3EE0F71F5}" type="presOf" srcId="{ECB2CD06-50EA-4DAC-8983-FA4F29F8163D}" destId="{BE06D1F8-4914-4E45-8132-6117DA2F9747}" srcOrd="0" destOrd="0" presId="urn:microsoft.com/office/officeart/2005/8/layout/lProcess1"/>
    <dgm:cxn modelId="{45F32FA2-D875-43B5-8D8E-040D8DD4BBBB}" srcId="{875E735D-025D-4A68-9075-6D4EFD402665}" destId="{F801A5E8-17E2-41C8-8452-B072516C7A33}" srcOrd="1" destOrd="0" parTransId="{072D3A43-ED2F-443F-8908-D973A9B30F52}" sibTransId="{D1B5538B-1320-45BB-9793-0A751D8AACFA}"/>
    <dgm:cxn modelId="{F71AAC0D-672D-4FCE-B53D-EBDB5F74C300}" srcId="{91394827-6674-4700-83F2-F1AC738542C2}" destId="{1F6B0996-B9AF-4D13-A00B-953943977ECE}" srcOrd="0" destOrd="0" parTransId="{090D1E58-3621-486D-B036-3AFC5FF4D414}" sibTransId="{F3AA50AF-AF57-4C91-9F6C-E0975F41778D}"/>
    <dgm:cxn modelId="{D23DC682-8DC0-49BA-BF91-3706758AE16E}" type="presOf" srcId="{F801A5E8-17E2-41C8-8452-B072516C7A33}" destId="{40FB0DF4-CE23-4460-9432-8E7AD5619751}" srcOrd="0" destOrd="0" presId="urn:microsoft.com/office/officeart/2005/8/layout/lProcess1"/>
    <dgm:cxn modelId="{C3BDC277-5DF5-425C-A226-7711EA75A474}" type="presOf" srcId="{1F6B0996-B9AF-4D13-A00B-953943977ECE}" destId="{AB4E4421-4C7E-4ABF-9BB4-AB267DF3A046}" srcOrd="0" destOrd="0" presId="urn:microsoft.com/office/officeart/2005/8/layout/lProcess1"/>
    <dgm:cxn modelId="{0C3906AA-5BF4-4D69-8EDD-862338C241FF}" type="presOf" srcId="{91394827-6674-4700-83F2-F1AC738542C2}" destId="{085AAB00-E2CE-4ED2-A314-F14558E11904}" srcOrd="0" destOrd="0" presId="urn:microsoft.com/office/officeart/2005/8/layout/lProcess1"/>
    <dgm:cxn modelId="{10BC89AC-F955-4C73-8F42-B863EB4FD4BA}" type="presOf" srcId="{2B62C3A6-526B-4635-B1B1-6CADB4468FF1}" destId="{F618AFD2-64D8-487A-B466-4140D9477B17}" srcOrd="0" destOrd="0" presId="urn:microsoft.com/office/officeart/2005/8/layout/lProcess1"/>
    <dgm:cxn modelId="{4995494E-8F6D-419A-A452-154C72DEE740}" type="presOf" srcId="{7CD7CD65-6594-4C3F-B6B6-B92A816CC92D}" destId="{7827B9B0-4A63-4325-B049-E7485795F842}" srcOrd="0" destOrd="0" presId="urn:microsoft.com/office/officeart/2005/8/layout/lProcess1"/>
    <dgm:cxn modelId="{A2F48B3A-0B0D-4B59-B3ED-4B18FF55F116}" type="presOf" srcId="{895E6D76-D18E-40F1-8589-C823328C18F6}" destId="{EE99CF9E-5D7C-43F0-9449-E0B69C183FDD}" srcOrd="0" destOrd="0" presId="urn:microsoft.com/office/officeart/2005/8/layout/lProcess1"/>
    <dgm:cxn modelId="{1437910E-6105-4C0A-868D-17E7DD7AD641}" srcId="{F801A5E8-17E2-41C8-8452-B072516C7A33}" destId="{C0BC00C2-4195-496C-A794-2430C904402D}" srcOrd="1" destOrd="0" parTransId="{D7C4BF4C-33E4-468B-A0B2-4FE0A87DA953}" sibTransId="{D5C432DE-B584-4CEC-A66C-F7C883D86425}"/>
    <dgm:cxn modelId="{DE8A4B30-500A-434D-9A4D-1DFA922BCB73}" srcId="{F801A5E8-17E2-41C8-8452-B072516C7A33}" destId="{895E6D76-D18E-40F1-8589-C823328C18F6}" srcOrd="0" destOrd="0" parTransId="{2B62C3A6-526B-4635-B1B1-6CADB4468FF1}" sibTransId="{7CD7CD65-6594-4C3F-B6B6-B92A816CC92D}"/>
    <dgm:cxn modelId="{B3EEA2C7-0F92-4450-BBD4-9FD5196402A9}" srcId="{875E735D-025D-4A68-9075-6D4EFD402665}" destId="{91394827-6674-4700-83F2-F1AC738542C2}" srcOrd="0" destOrd="0" parTransId="{15DF6E5F-29F7-4599-8CBC-C53E2574AB87}" sibTransId="{33787619-6A15-4077-881C-B803349F51A0}"/>
    <dgm:cxn modelId="{BCCC1B5A-6BF0-48F8-A0BC-8408D997C451}" type="presOf" srcId="{090D1E58-3621-486D-B036-3AFC5FF4D414}" destId="{2EB422B7-D620-429A-A5B3-413C6F2E7D01}" srcOrd="0" destOrd="0" presId="urn:microsoft.com/office/officeart/2005/8/layout/lProcess1"/>
    <dgm:cxn modelId="{B993B641-2FD6-4058-9A92-5AA190FC2F41}" srcId="{91394827-6674-4700-83F2-F1AC738542C2}" destId="{ECB2CD06-50EA-4DAC-8983-FA4F29F8163D}" srcOrd="1" destOrd="0" parTransId="{0C8E114B-3525-48CA-A285-6050550094E8}" sibTransId="{ED32C314-0743-4320-8497-A7D60AF20ACB}"/>
    <dgm:cxn modelId="{62809DA4-252F-4C3A-8769-F34E3ED2D762}" type="presOf" srcId="{C0BC00C2-4195-496C-A794-2430C904402D}" destId="{8BB662D6-B4CF-42D3-804D-1917C0DAD060}" srcOrd="0" destOrd="0" presId="urn:microsoft.com/office/officeart/2005/8/layout/lProcess1"/>
    <dgm:cxn modelId="{2E210DFC-BCA9-41B3-897D-B0EE17B54A59}" type="presOf" srcId="{875E735D-025D-4A68-9075-6D4EFD402665}" destId="{ABE9DF8C-D2A1-4312-AFC7-C80955D4F2B1}" srcOrd="0" destOrd="0" presId="urn:microsoft.com/office/officeart/2005/8/layout/lProcess1"/>
    <dgm:cxn modelId="{D62B9EF2-1860-4506-9D6E-0C4F88471B3A}" type="presOf" srcId="{F3AA50AF-AF57-4C91-9F6C-E0975F41778D}" destId="{E792D7FF-F72E-4D46-874E-F904C3C76DE3}" srcOrd="0" destOrd="0" presId="urn:microsoft.com/office/officeart/2005/8/layout/lProcess1"/>
    <dgm:cxn modelId="{0924BCC5-5802-4394-88BC-F21269E9FADB}" type="presParOf" srcId="{ABE9DF8C-D2A1-4312-AFC7-C80955D4F2B1}" destId="{38C50E26-40A0-445D-8788-FEFD2B15FEA1}" srcOrd="0" destOrd="0" presId="urn:microsoft.com/office/officeart/2005/8/layout/lProcess1"/>
    <dgm:cxn modelId="{2D745FC6-D003-4560-84DF-64A1E5E892ED}" type="presParOf" srcId="{38C50E26-40A0-445D-8788-FEFD2B15FEA1}" destId="{085AAB00-E2CE-4ED2-A314-F14558E11904}" srcOrd="0" destOrd="0" presId="urn:microsoft.com/office/officeart/2005/8/layout/lProcess1"/>
    <dgm:cxn modelId="{FE6FB500-AB8A-49A5-AA73-611AF124B175}" type="presParOf" srcId="{38C50E26-40A0-445D-8788-FEFD2B15FEA1}" destId="{2EB422B7-D620-429A-A5B3-413C6F2E7D01}" srcOrd="1" destOrd="0" presId="urn:microsoft.com/office/officeart/2005/8/layout/lProcess1"/>
    <dgm:cxn modelId="{5739F507-626D-4F0C-8FB7-FD75010C19A4}" type="presParOf" srcId="{38C50E26-40A0-445D-8788-FEFD2B15FEA1}" destId="{AB4E4421-4C7E-4ABF-9BB4-AB267DF3A046}" srcOrd="2" destOrd="0" presId="urn:microsoft.com/office/officeart/2005/8/layout/lProcess1"/>
    <dgm:cxn modelId="{6D66038C-B8D1-43CE-9106-3005A3E5A6D3}" type="presParOf" srcId="{38C50E26-40A0-445D-8788-FEFD2B15FEA1}" destId="{E792D7FF-F72E-4D46-874E-F904C3C76DE3}" srcOrd="3" destOrd="0" presId="urn:microsoft.com/office/officeart/2005/8/layout/lProcess1"/>
    <dgm:cxn modelId="{EF1B3502-F000-499D-942B-DA3984CF9237}" type="presParOf" srcId="{38C50E26-40A0-445D-8788-FEFD2B15FEA1}" destId="{BE06D1F8-4914-4E45-8132-6117DA2F9747}" srcOrd="4" destOrd="0" presId="urn:microsoft.com/office/officeart/2005/8/layout/lProcess1"/>
    <dgm:cxn modelId="{06B6BD26-158F-4357-99DC-55C367D17335}" type="presParOf" srcId="{ABE9DF8C-D2A1-4312-AFC7-C80955D4F2B1}" destId="{A1FF4E12-B2BB-40F5-BEA2-E3F49501E81A}" srcOrd="1" destOrd="0" presId="urn:microsoft.com/office/officeart/2005/8/layout/lProcess1"/>
    <dgm:cxn modelId="{3853BD7F-8E33-4367-8828-83CB2BB5B6CE}" type="presParOf" srcId="{ABE9DF8C-D2A1-4312-AFC7-C80955D4F2B1}" destId="{EAB4F818-DB1A-45F6-88D3-9EC1528DE41D}" srcOrd="2" destOrd="0" presId="urn:microsoft.com/office/officeart/2005/8/layout/lProcess1"/>
    <dgm:cxn modelId="{6F4E01A9-6B61-46AC-88B8-E1BE549DD160}" type="presParOf" srcId="{EAB4F818-DB1A-45F6-88D3-9EC1528DE41D}" destId="{40FB0DF4-CE23-4460-9432-8E7AD5619751}" srcOrd="0" destOrd="0" presId="urn:microsoft.com/office/officeart/2005/8/layout/lProcess1"/>
    <dgm:cxn modelId="{2CF9A9AC-C2C9-4AEA-AF30-CD65EFF7FE0A}" type="presParOf" srcId="{EAB4F818-DB1A-45F6-88D3-9EC1528DE41D}" destId="{F618AFD2-64D8-487A-B466-4140D9477B17}" srcOrd="1" destOrd="0" presId="urn:microsoft.com/office/officeart/2005/8/layout/lProcess1"/>
    <dgm:cxn modelId="{752EF720-D96C-4A3B-B8AF-3BCD81862E09}" type="presParOf" srcId="{EAB4F818-DB1A-45F6-88D3-9EC1528DE41D}" destId="{EE99CF9E-5D7C-43F0-9449-E0B69C183FDD}" srcOrd="2" destOrd="0" presId="urn:microsoft.com/office/officeart/2005/8/layout/lProcess1"/>
    <dgm:cxn modelId="{F0358B4D-2F0F-4232-A991-A2369E2889D0}" type="presParOf" srcId="{EAB4F818-DB1A-45F6-88D3-9EC1528DE41D}" destId="{7827B9B0-4A63-4325-B049-E7485795F842}" srcOrd="3" destOrd="0" presId="urn:microsoft.com/office/officeart/2005/8/layout/lProcess1"/>
    <dgm:cxn modelId="{0B3DF67F-0BAE-418A-9EAF-614D5BAE0879}" type="presParOf" srcId="{EAB4F818-DB1A-45F6-88D3-9EC1528DE41D}" destId="{8BB662D6-B4CF-42D3-804D-1917C0DAD060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305221-DBDD-44C3-BE4B-3878391B3CD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AF017DD-2A20-4925-A7E9-CD6F24E04EAA}">
      <dgm:prSet phldrT="[Texto]"/>
      <dgm:spPr/>
      <dgm:t>
        <a:bodyPr/>
        <a:lstStyle/>
        <a:p>
          <a:r>
            <a:rPr lang="es-MX"/>
            <a:t>Sesgos</a:t>
          </a:r>
        </a:p>
      </dgm:t>
    </dgm:pt>
    <dgm:pt modelId="{445E715A-1E56-41E0-99D7-910DEC9FC60E}" type="parTrans" cxnId="{15E06C46-19D2-43A8-A4E2-8BB09F55D7C4}">
      <dgm:prSet/>
      <dgm:spPr/>
    </dgm:pt>
    <dgm:pt modelId="{7371BAB9-379F-4452-91FA-B7D1C3B646F7}" type="sibTrans" cxnId="{15E06C46-19D2-43A8-A4E2-8BB09F55D7C4}">
      <dgm:prSet/>
      <dgm:spPr/>
      <dgm:t>
        <a:bodyPr/>
        <a:lstStyle/>
        <a:p>
          <a:endParaRPr lang="es-MX"/>
        </a:p>
      </dgm:t>
    </dgm:pt>
    <dgm:pt modelId="{BBA86B47-E016-40C0-99F7-EDE3C843EA45}">
      <dgm:prSet/>
      <dgm:spPr/>
      <dgm:t>
        <a:bodyPr/>
        <a:lstStyle/>
        <a:p>
          <a:r>
            <a:rPr lang="es-ES_tradnl" u="sng"/>
            <a:t>Tipos de sesgos en estudios observacionales:</a:t>
          </a:r>
          <a:r>
            <a:rPr lang="es-ES_tradnl"/>
            <a:t> Sesgo de sensibilidad, sesgo de sobrevivencia, sesgo de migración, sesgo de información, sesgo de selección, factores confusores.  </a:t>
          </a:r>
          <a:endParaRPr lang="es-MX"/>
        </a:p>
      </dgm:t>
    </dgm:pt>
    <dgm:pt modelId="{176442FA-B884-43B9-95BC-B15F0FDA9A75}" type="parTrans" cxnId="{F5685F79-71BC-4DB9-A443-0361FF546612}">
      <dgm:prSet/>
      <dgm:spPr/>
      <dgm:t>
        <a:bodyPr/>
        <a:lstStyle/>
        <a:p>
          <a:endParaRPr lang="es-MX"/>
        </a:p>
      </dgm:t>
    </dgm:pt>
    <dgm:pt modelId="{4AD51648-DB8D-4AA1-AB88-AC555E72F8F7}" type="sibTrans" cxnId="{F5685F79-71BC-4DB9-A443-0361FF546612}">
      <dgm:prSet/>
      <dgm:spPr/>
      <dgm:t>
        <a:bodyPr/>
        <a:lstStyle/>
        <a:p>
          <a:endParaRPr lang="es-MX"/>
        </a:p>
      </dgm:t>
    </dgm:pt>
    <dgm:pt modelId="{640A9F70-7185-46F6-9C94-1ABF836B6164}" type="pres">
      <dgm:prSet presAssocID="{8C305221-DBDD-44C3-BE4B-3878391B3CD9}" presName="linearFlow" presStyleCnt="0">
        <dgm:presLayoutVars>
          <dgm:resizeHandles val="exact"/>
        </dgm:presLayoutVars>
      </dgm:prSet>
      <dgm:spPr/>
    </dgm:pt>
    <dgm:pt modelId="{D66D80E6-F0B9-456F-8665-938D565740CA}" type="pres">
      <dgm:prSet presAssocID="{0AF017DD-2A20-4925-A7E9-CD6F24E04EAA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5E1F22-BF77-451B-A8A2-CBE393961E28}" type="pres">
      <dgm:prSet presAssocID="{7371BAB9-379F-4452-91FA-B7D1C3B646F7}" presName="sibTrans" presStyleLbl="sibTrans2D1" presStyleIdx="0" presStyleCnt="1"/>
      <dgm:spPr/>
      <dgm:t>
        <a:bodyPr/>
        <a:lstStyle/>
        <a:p>
          <a:endParaRPr lang="es-MX"/>
        </a:p>
      </dgm:t>
    </dgm:pt>
    <dgm:pt modelId="{3010B970-5677-4B66-9B5D-111D41A18813}" type="pres">
      <dgm:prSet presAssocID="{7371BAB9-379F-4452-91FA-B7D1C3B646F7}" presName="connectorText" presStyleLbl="sibTrans2D1" presStyleIdx="0" presStyleCnt="1"/>
      <dgm:spPr/>
      <dgm:t>
        <a:bodyPr/>
        <a:lstStyle/>
        <a:p>
          <a:endParaRPr lang="es-MX"/>
        </a:p>
      </dgm:t>
    </dgm:pt>
    <dgm:pt modelId="{A67CAD34-0C06-45CA-83B2-6C6E5A5E0D87}" type="pres">
      <dgm:prSet presAssocID="{BBA86B47-E016-40C0-99F7-EDE3C843EA45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89778EA-3904-4994-84B4-FC4611CF8465}" type="presOf" srcId="{8C305221-DBDD-44C3-BE4B-3878391B3CD9}" destId="{640A9F70-7185-46F6-9C94-1ABF836B6164}" srcOrd="0" destOrd="0" presId="urn:microsoft.com/office/officeart/2005/8/layout/process2"/>
    <dgm:cxn modelId="{63FA8039-CFB5-4108-AAC7-E5F6D3761967}" type="presOf" srcId="{BBA86B47-E016-40C0-99F7-EDE3C843EA45}" destId="{A67CAD34-0C06-45CA-83B2-6C6E5A5E0D87}" srcOrd="0" destOrd="0" presId="urn:microsoft.com/office/officeart/2005/8/layout/process2"/>
    <dgm:cxn modelId="{15E06C46-19D2-43A8-A4E2-8BB09F55D7C4}" srcId="{8C305221-DBDD-44C3-BE4B-3878391B3CD9}" destId="{0AF017DD-2A20-4925-A7E9-CD6F24E04EAA}" srcOrd="0" destOrd="0" parTransId="{445E715A-1E56-41E0-99D7-910DEC9FC60E}" sibTransId="{7371BAB9-379F-4452-91FA-B7D1C3B646F7}"/>
    <dgm:cxn modelId="{12CE05D3-96EC-4E5C-877B-5D3FB44CD72E}" type="presOf" srcId="{7371BAB9-379F-4452-91FA-B7D1C3B646F7}" destId="{3010B970-5677-4B66-9B5D-111D41A18813}" srcOrd="1" destOrd="0" presId="urn:microsoft.com/office/officeart/2005/8/layout/process2"/>
    <dgm:cxn modelId="{54531808-0D4C-4DAB-8D1F-B31F95AA9B70}" type="presOf" srcId="{0AF017DD-2A20-4925-A7E9-CD6F24E04EAA}" destId="{D66D80E6-F0B9-456F-8665-938D565740CA}" srcOrd="0" destOrd="0" presId="urn:microsoft.com/office/officeart/2005/8/layout/process2"/>
    <dgm:cxn modelId="{FD1E83A3-D3D3-4BBB-80E5-E8DDCE418D7A}" type="presOf" srcId="{7371BAB9-379F-4452-91FA-B7D1C3B646F7}" destId="{F45E1F22-BF77-451B-A8A2-CBE393961E28}" srcOrd="0" destOrd="0" presId="urn:microsoft.com/office/officeart/2005/8/layout/process2"/>
    <dgm:cxn modelId="{F5685F79-71BC-4DB9-A443-0361FF546612}" srcId="{8C305221-DBDD-44C3-BE4B-3878391B3CD9}" destId="{BBA86B47-E016-40C0-99F7-EDE3C843EA45}" srcOrd="1" destOrd="0" parTransId="{176442FA-B884-43B9-95BC-B15F0FDA9A75}" sibTransId="{4AD51648-DB8D-4AA1-AB88-AC555E72F8F7}"/>
    <dgm:cxn modelId="{7247A461-33FE-4984-B9AC-53E413C5E0C4}" type="presParOf" srcId="{640A9F70-7185-46F6-9C94-1ABF836B6164}" destId="{D66D80E6-F0B9-456F-8665-938D565740CA}" srcOrd="0" destOrd="0" presId="urn:microsoft.com/office/officeart/2005/8/layout/process2"/>
    <dgm:cxn modelId="{C8357886-A31F-41A7-BA14-00E00A69DB64}" type="presParOf" srcId="{640A9F70-7185-46F6-9C94-1ABF836B6164}" destId="{F45E1F22-BF77-451B-A8A2-CBE393961E28}" srcOrd="1" destOrd="0" presId="urn:microsoft.com/office/officeart/2005/8/layout/process2"/>
    <dgm:cxn modelId="{56D8CA67-7B60-4B21-BAC7-80C0DF536BF6}" type="presParOf" srcId="{F45E1F22-BF77-451B-A8A2-CBE393961E28}" destId="{3010B970-5677-4B66-9B5D-111D41A18813}" srcOrd="0" destOrd="0" presId="urn:microsoft.com/office/officeart/2005/8/layout/process2"/>
    <dgm:cxn modelId="{A9889DAA-532E-4EB9-9A6D-F0B77EE97FE5}" type="presParOf" srcId="{640A9F70-7185-46F6-9C94-1ABF836B6164}" destId="{A67CAD34-0C06-45CA-83B2-6C6E5A5E0D87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5A70FB-6AF7-42B2-BDC3-BA8950499553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400" kern="1200"/>
            <a:t>Tipos de estudios</a:t>
          </a:r>
        </a:p>
      </dsp:txBody>
      <dsp:txXfrm>
        <a:off x="0" y="0"/>
        <a:ext cx="5486400" cy="960120"/>
      </dsp:txXfrm>
    </dsp:sp>
    <dsp:sp modelId="{B5605AC7-133B-42E8-B27D-7E730D624351}">
      <dsp:nvSpPr>
        <dsp:cNvPr id="0" name=""/>
        <dsp:cNvSpPr/>
      </dsp:nvSpPr>
      <dsp:spPr>
        <a:xfrm>
          <a:off x="0" y="960120"/>
          <a:ext cx="2743199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/>
            <a:t>Estudios de pruebas diagnosticas </a:t>
          </a:r>
        </a:p>
      </dsp:txBody>
      <dsp:txXfrm>
        <a:off x="0" y="960120"/>
        <a:ext cx="2743199" cy="2016252"/>
      </dsp:txXfrm>
    </dsp:sp>
    <dsp:sp modelId="{D87310A5-AE1D-43C8-953C-00BF99C9785A}">
      <dsp:nvSpPr>
        <dsp:cNvPr id="0" name=""/>
        <dsp:cNvSpPr/>
      </dsp:nvSpPr>
      <dsp:spPr>
        <a:xfrm>
          <a:off x="2743200" y="960120"/>
          <a:ext cx="2743199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b="1" kern="1200"/>
            <a:t>Longitudinales </a:t>
          </a:r>
          <a:endParaRPr lang="es-MX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b="1" kern="1200"/>
            <a:t>Analíticos </a:t>
          </a:r>
          <a:endParaRPr lang="es-MX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b="1" kern="1200"/>
            <a:t>Observacionales </a:t>
          </a:r>
          <a:endParaRPr lang="es-MX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b="1" kern="1200"/>
            <a:t>Asociación-Riesgo </a:t>
          </a:r>
          <a:endParaRPr lang="es-MX" sz="2500" kern="1200"/>
        </a:p>
      </dsp:txBody>
      <dsp:txXfrm>
        <a:off x="2743200" y="960120"/>
        <a:ext cx="2743199" cy="2016252"/>
      </dsp:txXfrm>
    </dsp:sp>
    <dsp:sp modelId="{296D24E2-A03A-4B35-B4F2-877BA27DB539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5AAB00-E2CE-4ED2-A314-F14558E11904}">
      <dsp:nvSpPr>
        <dsp:cNvPr id="0" name=""/>
        <dsp:cNvSpPr/>
      </dsp:nvSpPr>
      <dsp:spPr>
        <a:xfrm>
          <a:off x="982" y="414895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Cohorte</a:t>
          </a:r>
        </a:p>
      </dsp:txBody>
      <dsp:txXfrm>
        <a:off x="982" y="414895"/>
        <a:ext cx="2562820" cy="640705"/>
      </dsp:txXfrm>
    </dsp:sp>
    <dsp:sp modelId="{2EB422B7-D620-429A-A5B3-413C6F2E7D01}">
      <dsp:nvSpPr>
        <dsp:cNvPr id="0" name=""/>
        <dsp:cNvSpPr/>
      </dsp:nvSpPr>
      <dsp:spPr>
        <a:xfrm rot="5400000">
          <a:off x="1226330" y="1111662"/>
          <a:ext cx="112123" cy="1121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E4421-4C7E-4ABF-9BB4-AB267DF3A046}">
      <dsp:nvSpPr>
        <dsp:cNvPr id="0" name=""/>
        <dsp:cNvSpPr/>
      </dsp:nvSpPr>
      <dsp:spPr>
        <a:xfrm>
          <a:off x="982" y="1279847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El investigador identifica a  dos grupos de individuos expuestos y no expuestos, los estudia durante un periodo, calcula la incidencia  del evento de interés en cada grupo y finalmente combara dichas incidencias.</a:t>
          </a:r>
          <a:endParaRPr lang="es-MX" sz="800" kern="1200"/>
        </a:p>
      </dsp:txBody>
      <dsp:txXfrm>
        <a:off x="982" y="1279847"/>
        <a:ext cx="2562820" cy="640705"/>
      </dsp:txXfrm>
    </dsp:sp>
    <dsp:sp modelId="{E792D7FF-F72E-4D46-874E-F904C3C76DE3}">
      <dsp:nvSpPr>
        <dsp:cNvPr id="0" name=""/>
        <dsp:cNvSpPr/>
      </dsp:nvSpPr>
      <dsp:spPr>
        <a:xfrm rot="5400000">
          <a:off x="1226330" y="1976614"/>
          <a:ext cx="112123" cy="1121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6D1F8-4914-4E45-8132-6117DA2F9747}">
      <dsp:nvSpPr>
        <dsp:cNvPr id="0" name=""/>
        <dsp:cNvSpPr/>
      </dsp:nvSpPr>
      <dsp:spPr>
        <a:xfrm>
          <a:off x="982" y="2144799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* </a:t>
          </a:r>
          <a:r>
            <a:rPr lang="es-ES" sz="800" b="1" kern="1200"/>
            <a:t>Medidas de asociación:  CIE= a/a+b, CI0= c/c+d, RR= CIE/CIO, RA= CIE-CIO, %RA= RA/CIE (100).</a:t>
          </a:r>
          <a:endParaRPr lang="es-MX" sz="800" kern="1200"/>
        </a:p>
      </dsp:txBody>
      <dsp:txXfrm>
        <a:off x="982" y="2144799"/>
        <a:ext cx="2562820" cy="640705"/>
      </dsp:txXfrm>
    </dsp:sp>
    <dsp:sp modelId="{40FB0DF4-CE23-4460-9432-8E7AD5619751}">
      <dsp:nvSpPr>
        <dsp:cNvPr id="0" name=""/>
        <dsp:cNvSpPr/>
      </dsp:nvSpPr>
      <dsp:spPr>
        <a:xfrm>
          <a:off x="2922597" y="414895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Casos y control</a:t>
          </a:r>
        </a:p>
      </dsp:txBody>
      <dsp:txXfrm>
        <a:off x="2922597" y="414895"/>
        <a:ext cx="2562820" cy="640705"/>
      </dsp:txXfrm>
    </dsp:sp>
    <dsp:sp modelId="{F618AFD2-64D8-487A-B466-4140D9477B17}">
      <dsp:nvSpPr>
        <dsp:cNvPr id="0" name=""/>
        <dsp:cNvSpPr/>
      </dsp:nvSpPr>
      <dsp:spPr>
        <a:xfrm rot="5400000">
          <a:off x="4147945" y="1111662"/>
          <a:ext cx="112123" cy="1121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99CF9E-5D7C-43F0-9449-E0B69C183FDD}">
      <dsp:nvSpPr>
        <dsp:cNvPr id="0" name=""/>
        <dsp:cNvSpPr/>
      </dsp:nvSpPr>
      <dsp:spPr>
        <a:xfrm>
          <a:off x="2922597" y="1279847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Se identifican individuos que tienen una enfermedad y se compara simultáneamente la  exposición  a factores de riesgo con un grupo que no la tiene.</a:t>
          </a:r>
          <a:endParaRPr lang="es-MX" sz="800" kern="1200"/>
        </a:p>
      </dsp:txBody>
      <dsp:txXfrm>
        <a:off x="2922597" y="1279847"/>
        <a:ext cx="2562820" cy="640705"/>
      </dsp:txXfrm>
    </dsp:sp>
    <dsp:sp modelId="{7827B9B0-4A63-4325-B049-E7485795F842}">
      <dsp:nvSpPr>
        <dsp:cNvPr id="0" name=""/>
        <dsp:cNvSpPr/>
      </dsp:nvSpPr>
      <dsp:spPr>
        <a:xfrm rot="5400000">
          <a:off x="4147945" y="1976614"/>
          <a:ext cx="112123" cy="1121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B662D6-B4CF-42D3-804D-1917C0DAD060}">
      <dsp:nvSpPr>
        <dsp:cNvPr id="0" name=""/>
        <dsp:cNvSpPr/>
      </dsp:nvSpPr>
      <dsp:spPr>
        <a:xfrm>
          <a:off x="2922597" y="2144799"/>
          <a:ext cx="2562820" cy="64070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Medidas de asociacion: Razon de momios es matematicamente equivalente al RR. OR= ad/bc</a:t>
          </a:r>
          <a:endParaRPr lang="es-MX" sz="800" kern="1200"/>
        </a:p>
      </dsp:txBody>
      <dsp:txXfrm>
        <a:off x="2922597" y="2144799"/>
        <a:ext cx="2562820" cy="64070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6D80E6-F0B9-456F-8665-938D565740CA}">
      <dsp:nvSpPr>
        <dsp:cNvPr id="0" name=""/>
        <dsp:cNvSpPr/>
      </dsp:nvSpPr>
      <dsp:spPr>
        <a:xfrm>
          <a:off x="491468" y="390"/>
          <a:ext cx="4503463" cy="1279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Sesgos</a:t>
          </a:r>
        </a:p>
      </dsp:txBody>
      <dsp:txXfrm>
        <a:off x="491468" y="390"/>
        <a:ext cx="4503463" cy="1279847"/>
      </dsp:txXfrm>
    </dsp:sp>
    <dsp:sp modelId="{F45E1F22-BF77-451B-A8A2-CBE393961E28}">
      <dsp:nvSpPr>
        <dsp:cNvPr id="0" name=""/>
        <dsp:cNvSpPr/>
      </dsp:nvSpPr>
      <dsp:spPr>
        <a:xfrm rot="5400000">
          <a:off x="2503228" y="1312234"/>
          <a:ext cx="479942" cy="5759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 rot="5400000">
        <a:off x="2503228" y="1312234"/>
        <a:ext cx="479942" cy="575931"/>
      </dsp:txXfrm>
    </dsp:sp>
    <dsp:sp modelId="{A67CAD34-0C06-45CA-83B2-6C6E5A5E0D87}">
      <dsp:nvSpPr>
        <dsp:cNvPr id="0" name=""/>
        <dsp:cNvSpPr/>
      </dsp:nvSpPr>
      <dsp:spPr>
        <a:xfrm>
          <a:off x="491468" y="1920161"/>
          <a:ext cx="4503463" cy="1279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u="sng" kern="1200"/>
            <a:t>Tipos de sesgos en estudios observacionales:</a:t>
          </a:r>
          <a:r>
            <a:rPr lang="es-ES_tradnl" sz="1800" kern="1200"/>
            <a:t> Sesgo de sensibilidad, sesgo de sobrevivencia, sesgo de migración, sesgo de información, sesgo de selección, factores confusores.  </a:t>
          </a:r>
          <a:endParaRPr lang="es-MX" sz="1800" kern="1200"/>
        </a:p>
      </dsp:txBody>
      <dsp:txXfrm>
        <a:off x="491468" y="1920161"/>
        <a:ext cx="4503463" cy="1279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Herick</cp:lastModifiedBy>
  <cp:revision>2</cp:revision>
  <dcterms:created xsi:type="dcterms:W3CDTF">2012-11-15T04:09:00Z</dcterms:created>
  <dcterms:modified xsi:type="dcterms:W3CDTF">2012-11-15T04:09:00Z</dcterms:modified>
</cp:coreProperties>
</file>