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41" w:rsidRDefault="00B442E5">
      <w:r>
        <w:t xml:space="preserve">                 </w:t>
      </w:r>
    </w:p>
    <w:p w:rsidR="00B442E5" w:rsidRDefault="00B442E5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t xml:space="preserve">  </w:t>
      </w:r>
      <w:r w:rsidR="00237F4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Analizar el </w:t>
      </w:r>
      <w:r w:rsidR="00237F41">
        <w:rPr>
          <w:rFonts w:ascii="Arial" w:hAnsi="Arial" w:cs="Arial"/>
          <w:color w:val="666666"/>
          <w:sz w:val="21"/>
          <w:szCs w:val="21"/>
          <w:shd w:val="clear" w:color="auto" w:fill="FFFFFF"/>
        </w:rPr>
        <w:t>artículo</w:t>
      </w:r>
      <w:r w:rsidR="00237F4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 cohorte y señalar si se definió la cohorte adecuada, si hubo una exposición al factor suficiente, si la medición de los resultados fue similar en los grupos expuestos y no expuestos al factor, se hizo un seguimiento completo, los grupos expuestos y no expuestos son muy comparables, calcular las incidencias en cada grupo, el riesgo relativo, el riesgo atribuible y el % de riesgo atribuible.</w:t>
      </w:r>
      <w:r w:rsidR="00237F41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</w:p>
    <w:p w:rsidR="00237F41" w:rsidRDefault="00237F41" w:rsidP="00237F41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val="es-ES_tradnl"/>
        </w:rPr>
      </w:pPr>
      <w:r>
        <w:rPr>
          <w:rFonts w:ascii="Arial" w:eastAsiaTheme="minorEastAsia" w:hAnsi="Arial" w:cs="Arial"/>
          <w:b/>
          <w:bCs/>
          <w:color w:val="B2003D"/>
          <w:lang w:val="es-ES_tradnl"/>
        </w:rPr>
        <w:t xml:space="preserve">ARTÍCULO ORIGINAL </w:t>
      </w:r>
    </w:p>
    <w:p w:rsidR="00237F41" w:rsidRPr="00237F41" w:rsidRDefault="00237F41" w:rsidP="00237F41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val="es-ES_tradnl"/>
        </w:rPr>
      </w:pPr>
      <w:r>
        <w:rPr>
          <w:rFonts w:ascii="Arial" w:eastAsiaTheme="minorEastAsia" w:hAnsi="Arial" w:cs="Arial"/>
          <w:b/>
          <w:bCs/>
          <w:lang w:val="es-ES_tradnl"/>
        </w:rPr>
        <w:t xml:space="preserve">Incidencia de la </w:t>
      </w:r>
      <w:r>
        <w:rPr>
          <w:rFonts w:ascii="Arial" w:eastAsiaTheme="minorEastAsia" w:hAnsi="Arial" w:cs="Arial"/>
          <w:b/>
          <w:bCs/>
          <w:lang w:val="es-ES_tradnl"/>
        </w:rPr>
        <w:t>fibrilación</w:t>
      </w:r>
      <w:r>
        <w:rPr>
          <w:rFonts w:ascii="Arial" w:eastAsiaTheme="minorEastAsia" w:hAnsi="Arial" w:cs="Arial"/>
          <w:b/>
          <w:bCs/>
          <w:lang w:val="es-ES_tradnl"/>
        </w:rPr>
        <w:t xml:space="preserve"> auricular en los pacientes en </w:t>
      </w:r>
      <w:r>
        <w:rPr>
          <w:rFonts w:ascii="Arial" w:eastAsiaTheme="minorEastAsia" w:hAnsi="Arial" w:cs="Arial"/>
          <w:b/>
          <w:bCs/>
          <w:lang w:val="es-ES_tradnl"/>
        </w:rPr>
        <w:t>hemodiálisis</w:t>
      </w:r>
      <w:r>
        <w:rPr>
          <w:rFonts w:ascii="Arial" w:eastAsiaTheme="minorEastAsia" w:hAnsi="Arial" w:cs="Arial"/>
          <w:b/>
          <w:bCs/>
          <w:lang w:val="es-ES_tradnl"/>
        </w:rPr>
        <w:t xml:space="preserve">. Estudio prospectivo a largo plazo </w:t>
      </w:r>
    </w:p>
    <w:p w:rsidR="00237F41" w:rsidRDefault="00237F41" w:rsidP="00237F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a los puntos para </w:t>
      </w:r>
      <w:r>
        <w:rPr>
          <w:rFonts w:ascii="Arial" w:hAnsi="Arial" w:cs="Arial"/>
        </w:rPr>
        <w:t>evaluación</w:t>
      </w:r>
      <w:r>
        <w:rPr>
          <w:rFonts w:ascii="Arial" w:hAnsi="Arial" w:cs="Arial"/>
        </w:rPr>
        <w:t xml:space="preserve"> de los estudios de cohortes si se </w:t>
      </w:r>
      <w:r>
        <w:rPr>
          <w:rFonts w:ascii="Arial" w:hAnsi="Arial" w:cs="Arial"/>
        </w:rPr>
        <w:t>definió</w:t>
      </w:r>
      <w:r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cohorte</w:t>
      </w:r>
      <w:r>
        <w:rPr>
          <w:rFonts w:ascii="Arial" w:hAnsi="Arial" w:cs="Arial"/>
        </w:rPr>
        <w:t xml:space="preserve"> adecuadamente ya que se tomaron en cuenta solo enfermos con RS y se </w:t>
      </w:r>
      <w:r>
        <w:rPr>
          <w:rFonts w:ascii="Arial" w:hAnsi="Arial" w:cs="Arial"/>
        </w:rPr>
        <w:t>tomó</w:t>
      </w:r>
      <w:r>
        <w:rPr>
          <w:rFonts w:ascii="Arial" w:hAnsi="Arial" w:cs="Arial"/>
        </w:rPr>
        <w:t xml:space="preserve"> una </w:t>
      </w:r>
      <w:r>
        <w:rPr>
          <w:rFonts w:ascii="Arial" w:hAnsi="Arial" w:cs="Arial"/>
        </w:rPr>
        <w:t>población</w:t>
      </w:r>
      <w:r>
        <w:rPr>
          <w:rFonts w:ascii="Arial" w:hAnsi="Arial" w:cs="Arial"/>
        </w:rPr>
        <w:t xml:space="preserve"> sin ausencia de enfermedad.</w:t>
      </w:r>
    </w:p>
    <w:p w:rsidR="00237F41" w:rsidRDefault="00237F41" w:rsidP="00237F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evaluación</w:t>
      </w:r>
      <w:r>
        <w:rPr>
          <w:rFonts w:ascii="Arial" w:hAnsi="Arial" w:cs="Arial"/>
        </w:rPr>
        <w:t xml:space="preserve"> al factor adecuado fue la FA que </w:t>
      </w:r>
      <w:r>
        <w:rPr>
          <w:rFonts w:ascii="Arial" w:hAnsi="Arial" w:cs="Arial"/>
        </w:rPr>
        <w:t>apareció</w:t>
      </w:r>
      <w:r>
        <w:rPr>
          <w:rFonts w:ascii="Arial" w:hAnsi="Arial" w:cs="Arial"/>
        </w:rPr>
        <w:t xml:space="preserve"> en los dos grupos, enfermos y no enfermos. La cual tuvo </w:t>
      </w:r>
      <w:r>
        <w:rPr>
          <w:rFonts w:ascii="Arial" w:hAnsi="Arial" w:cs="Arial"/>
        </w:rPr>
        <w:t>aparición</w:t>
      </w:r>
      <w:r>
        <w:rPr>
          <w:rFonts w:ascii="Arial" w:hAnsi="Arial" w:cs="Arial"/>
        </w:rPr>
        <w:t xml:space="preserve"> en los dos grupos y fueron tomados en cuenta por 7 años. </w:t>
      </w:r>
    </w:p>
    <w:p w:rsidR="00237F41" w:rsidRDefault="00237F41" w:rsidP="00237F4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>medición</w:t>
      </w:r>
      <w:r>
        <w:rPr>
          <w:rFonts w:ascii="Arial" w:hAnsi="Arial" w:cs="Arial"/>
        </w:rPr>
        <w:t xml:space="preserve"> y seguimiento considero que fue correcta por que se basaron a muchos factores como ECG, </w:t>
      </w:r>
      <w:r>
        <w:rPr>
          <w:rFonts w:ascii="Arial" w:eastAsiaTheme="minorEastAsia" w:hAnsi="Arial" w:cs="Arial"/>
        </w:rPr>
        <w:t xml:space="preserve">edad, sexo, tiempo de permanencia en diálisis, diabetes, hipertensión arterial </w:t>
      </w:r>
      <w:r>
        <w:rPr>
          <w:rFonts w:ascii="Arial" w:eastAsiaTheme="minorEastAsia" w:hAnsi="Arial" w:cs="Arial"/>
        </w:rPr>
        <w:t xml:space="preserve">sistémica, </w:t>
      </w:r>
      <w:proofErr w:type="spellStart"/>
      <w:r>
        <w:rPr>
          <w:rFonts w:ascii="Arial" w:eastAsiaTheme="minorEastAsia" w:hAnsi="Arial" w:cs="Arial"/>
        </w:rPr>
        <w:t>dislipidemia</w:t>
      </w:r>
      <w:proofErr w:type="spellEnd"/>
      <w:r>
        <w:rPr>
          <w:rFonts w:ascii="Arial" w:eastAsiaTheme="minorEastAsia" w:hAnsi="Arial" w:cs="Arial"/>
        </w:rPr>
        <w:t>, infar</w:t>
      </w:r>
      <w:r>
        <w:rPr>
          <w:rFonts w:ascii="Arial" w:eastAsiaTheme="minorEastAsia" w:hAnsi="Arial" w:cs="Arial"/>
        </w:rPr>
        <w:t>to de miocardio con elevación del segmento ST previo, anemia, concentraciones de urea, creatinina, albúmina, potasio y calcio. Durante 7 años.</w:t>
      </w:r>
    </w:p>
    <w:p w:rsidR="00237F41" w:rsidRDefault="00237F41" w:rsidP="00237F4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Considero que si fue complete el seguimiento de todos los pacientes.</w:t>
      </w:r>
    </w:p>
    <w:p w:rsidR="00237F41" w:rsidRDefault="00237F41" w:rsidP="00237F4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Fueron igual comparables los grupos expuestos y no expuestos, </w:t>
      </w:r>
      <w:r>
        <w:rPr>
          <w:rFonts w:ascii="Arial" w:eastAsiaTheme="minorEastAsia" w:hAnsi="Arial" w:cs="Arial"/>
        </w:rPr>
        <w:t>porque</w:t>
      </w:r>
      <w:r>
        <w:rPr>
          <w:rFonts w:ascii="Arial" w:eastAsiaTheme="minorEastAsia" w:hAnsi="Arial" w:cs="Arial"/>
        </w:rPr>
        <w:t xml:space="preserve"> a todos al </w:t>
      </w:r>
      <w:r>
        <w:rPr>
          <w:rFonts w:ascii="Arial" w:eastAsiaTheme="minorEastAsia" w:hAnsi="Arial" w:cs="Arial"/>
        </w:rPr>
        <w:t>presentar</w:t>
      </w:r>
      <w:r>
        <w:rPr>
          <w:rFonts w:ascii="Arial" w:eastAsiaTheme="minorEastAsia" w:hAnsi="Arial" w:cs="Arial"/>
        </w:rPr>
        <w:t xml:space="preserve"> el factor de riesgo se les tomo los </w:t>
      </w:r>
      <w:r>
        <w:rPr>
          <w:rFonts w:ascii="Arial" w:eastAsiaTheme="minorEastAsia" w:hAnsi="Arial" w:cs="Arial"/>
        </w:rPr>
        <w:t>análisis</w:t>
      </w:r>
      <w:r>
        <w:rPr>
          <w:rFonts w:ascii="Arial" w:eastAsiaTheme="minorEastAsia" w:hAnsi="Arial" w:cs="Arial"/>
        </w:rPr>
        <w:t xml:space="preserve"> adecuados para saber si presentaba el FR.</w:t>
      </w:r>
    </w:p>
    <w:p w:rsidR="00237F41" w:rsidRDefault="00237F41" w:rsidP="00237F4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No se</w:t>
      </w:r>
      <w:r>
        <w:rPr>
          <w:rFonts w:ascii="Arial" w:eastAsiaTheme="minorEastAsia" w:hAnsi="Arial" w:cs="Arial"/>
        </w:rPr>
        <w:t xml:space="preserve"> p</w:t>
      </w:r>
      <w:r>
        <w:rPr>
          <w:rFonts w:ascii="Arial" w:eastAsiaTheme="minorEastAsia" w:hAnsi="Arial" w:cs="Arial"/>
        </w:rPr>
        <w:t xml:space="preserve">udo identificar, en el análisis </w:t>
      </w:r>
      <w:proofErr w:type="spellStart"/>
      <w:r>
        <w:rPr>
          <w:rFonts w:ascii="Arial" w:eastAsiaTheme="minorEastAsia" w:hAnsi="Arial" w:cs="Arial"/>
        </w:rPr>
        <w:t>multivariable</w:t>
      </w:r>
      <w:proofErr w:type="spellEnd"/>
      <w:r>
        <w:rPr>
          <w:rFonts w:ascii="Arial" w:eastAsiaTheme="minorEastAsia" w:hAnsi="Arial" w:cs="Arial"/>
        </w:rPr>
        <w:t>, factores predictores independientes de mayor probabilidad de desarrollar FA.</w:t>
      </w:r>
    </w:p>
    <w:p w:rsidR="00237F41" w:rsidRDefault="00237F41" w:rsidP="00237F4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La evolución clínica de los pacientes que desarrollaron FA ha sido peor que la de los que mantuvieron el ritmo </w:t>
      </w:r>
      <w:proofErr w:type="spellStart"/>
      <w:r>
        <w:rPr>
          <w:rFonts w:ascii="Arial" w:eastAsiaTheme="minorEastAsia" w:hAnsi="Arial" w:cs="Arial"/>
        </w:rPr>
        <w:t>sinusal</w:t>
      </w:r>
      <w:proofErr w:type="spellEnd"/>
      <w:r>
        <w:rPr>
          <w:rFonts w:ascii="Arial" w:eastAsiaTheme="minorEastAsia" w:hAnsi="Arial" w:cs="Arial"/>
        </w:rPr>
        <w:t xml:space="preserve">. En lo que respecta a la mortalidad, el estudio no ha identificado a la FA como un factor predictor independiente de mortalidad, ya que solo el 10% desarrollo FA, entonces </w:t>
      </w:r>
      <w:proofErr w:type="spellStart"/>
      <w:r>
        <w:rPr>
          <w:rFonts w:ascii="Arial" w:eastAsiaTheme="minorEastAsia" w:hAnsi="Arial" w:cs="Arial"/>
        </w:rPr>
        <w:t>si</w:t>
      </w:r>
      <w:proofErr w:type="spellEnd"/>
      <w:r>
        <w:rPr>
          <w:rFonts w:ascii="Arial" w:eastAsiaTheme="minorEastAsia" w:hAnsi="Arial" w:cs="Arial"/>
        </w:rPr>
        <w:t xml:space="preserve"> creo que el estudio estuvo bien aplicado pero los resultados no fueron sorprendentes ya que no tiene mucho factor con la enfermedad ni con los grupos sanos y enfermos. </w:t>
      </w:r>
    </w:p>
    <w:p w:rsidR="00237F41" w:rsidRDefault="00237F41" w:rsidP="00237F4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Arial"/>
        </w:rPr>
      </w:pPr>
    </w:p>
    <w:p w:rsidR="00237F41" w:rsidRDefault="00237F41" w:rsidP="00237F4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Arial"/>
        </w:rPr>
      </w:pPr>
    </w:p>
    <w:p w:rsidR="00237F41" w:rsidRDefault="00237F41" w:rsidP="00237F4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Arial"/>
        </w:rPr>
      </w:pPr>
    </w:p>
    <w:p w:rsidR="00237F41" w:rsidRDefault="00237F41" w:rsidP="00237F4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badi MT Condensed Light" w:eastAsiaTheme="minorEastAsia" w:hAnsi="Abadi MT Condensed Light" w:cs="Times"/>
          <w:sz w:val="24"/>
          <w:szCs w:val="24"/>
        </w:rPr>
      </w:pPr>
    </w:p>
    <w:p w:rsidR="00237F41" w:rsidRDefault="00237F41" w:rsidP="00237F41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</w:rPr>
      </w:pPr>
    </w:p>
    <w:p w:rsidR="00237F41" w:rsidRDefault="00237F41" w:rsidP="00237F41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</w:rPr>
      </w:pPr>
    </w:p>
    <w:tbl>
      <w:tblPr>
        <w:tblpPr w:leftFromText="141" w:rightFromText="141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222"/>
        <w:gridCol w:w="1137"/>
        <w:gridCol w:w="461"/>
        <w:gridCol w:w="584"/>
      </w:tblGrid>
      <w:tr w:rsidR="00237F41" w:rsidTr="00237F41">
        <w:trPr>
          <w:trHeight w:val="693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237F41" w:rsidRP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237F41" w:rsidRP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37F41" w:rsidRP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37F41" w:rsidRP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7F41" w:rsidTr="00237F41">
        <w:trPr>
          <w:trHeight w:val="693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237F41" w:rsidRP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enfermedd</w:t>
            </w:r>
            <w:proofErr w:type="spellEnd"/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237F41" w:rsidTr="00237F41">
        <w:trPr>
          <w:trHeight w:val="693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(+)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144</w:t>
            </w:r>
          </w:p>
        </w:tc>
      </w:tr>
      <w:tr w:rsidR="00237F41" w:rsidTr="00237F41">
        <w:trPr>
          <w:trHeight w:val="693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(-)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164</w:t>
            </w:r>
          </w:p>
        </w:tc>
      </w:tr>
    </w:tbl>
    <w:p w:rsidR="00237F41" w:rsidRDefault="00237F41" w:rsidP="00237F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lang w:val="en-US"/>
        </w:rPr>
        <w:t>TABLA TETRAGORICA</w:t>
      </w:r>
    </w:p>
    <w:p w:rsidR="00237F41" w:rsidRDefault="00237F41" w:rsidP="00237F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237F41" w:rsidRDefault="00237F41" w:rsidP="00237F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PREVALENCIA</w:t>
      </w:r>
    </w:p>
    <w:p w:rsidR="00237F41" w:rsidRDefault="00237F41" w:rsidP="00237F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237F41" w:rsidRDefault="00237F41" w:rsidP="00237F41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Prevalencia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en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expuestos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: </w:t>
      </w:r>
      <w:r>
        <w:rPr>
          <w:rFonts w:ascii="Arial" w:hAnsi="Arial" w:cs="Arial"/>
          <w:color w:val="000000"/>
          <w:lang w:val="en-US"/>
        </w:rPr>
        <w:t>20/164 x 100 =</w:t>
      </w:r>
      <w:r>
        <w:rPr>
          <w:rFonts w:ascii="Arial" w:hAnsi="Arial" w:cs="Arial"/>
          <w:b/>
          <w:bCs/>
          <w:color w:val="000000"/>
          <w:lang w:val="en-US"/>
        </w:rPr>
        <w:t xml:space="preserve">  12.19%</w:t>
      </w:r>
    </w:p>
    <w:p w:rsidR="00237F41" w:rsidRDefault="00237F41" w:rsidP="00237F41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Prevalencia en no expuestos: </w:t>
      </w:r>
      <w:r>
        <w:rPr>
          <w:rFonts w:ascii="Arial" w:hAnsi="Arial" w:cs="Arial"/>
          <w:color w:val="000000"/>
        </w:rPr>
        <w:t>26/190 x 100 =</w:t>
      </w:r>
      <w:r>
        <w:rPr>
          <w:rFonts w:ascii="Arial" w:hAnsi="Arial" w:cs="Arial"/>
          <w:b/>
          <w:bCs/>
          <w:color w:val="000000"/>
        </w:rPr>
        <w:t xml:space="preserve"> 13%</w:t>
      </w:r>
    </w:p>
    <w:p w:rsidR="00237F41" w:rsidRDefault="00237F41" w:rsidP="00237F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37F41" w:rsidRDefault="00237F41" w:rsidP="00237F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RAZÓN DE MOMIOS</w:t>
      </w:r>
    </w:p>
    <w:p w:rsidR="00237F41" w:rsidRDefault="00237F41" w:rsidP="00237F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RM=  A x D / C x B = </w:t>
      </w:r>
      <w:r>
        <w:rPr>
          <w:rFonts w:ascii="Arial" w:hAnsi="Arial" w:cs="Arial"/>
          <w:color w:val="000000"/>
        </w:rPr>
        <w:t xml:space="preserve">20 x 164 / 26 x 144 = 3280/3744 = </w:t>
      </w:r>
      <w:r>
        <w:rPr>
          <w:rFonts w:ascii="Arial" w:hAnsi="Arial" w:cs="Arial"/>
          <w:b/>
          <w:bCs/>
          <w:color w:val="000000"/>
        </w:rPr>
        <w:t>0.8</w:t>
      </w:r>
    </w:p>
    <w:p w:rsidR="00237F41" w:rsidRDefault="00237F41" w:rsidP="00237F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37F41" w:rsidRDefault="00237F41" w:rsidP="00237F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RIESGO RELATIVO: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</w:rPr>
        <w:t>RR= A (A+B)  / C (C+D)</w:t>
      </w:r>
    </w:p>
    <w:p w:rsidR="00237F41" w:rsidRDefault="00237F41" w:rsidP="00237F4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</w:rPr>
      </w:pPr>
    </w:p>
    <w:tbl>
      <w:tblPr>
        <w:tblpPr w:leftFromText="141" w:rightFromText="141" w:vertAnchor="text" w:tblpY="-10"/>
        <w:tblW w:w="9060" w:type="dxa"/>
        <w:tblLayout w:type="fixed"/>
        <w:tblLook w:val="04A0" w:firstRow="1" w:lastRow="0" w:firstColumn="1" w:lastColumn="0" w:noHBand="0" w:noVBand="1"/>
      </w:tblPr>
      <w:tblGrid>
        <w:gridCol w:w="2349"/>
        <w:gridCol w:w="2237"/>
        <w:gridCol w:w="2237"/>
        <w:gridCol w:w="2237"/>
      </w:tblGrid>
      <w:tr w:rsidR="00237F41" w:rsidTr="00237F41">
        <w:trPr>
          <w:trHeight w:val="681"/>
        </w:trPr>
        <w:tc>
          <w:tcPr>
            <w:tcW w:w="2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b/>
                <w:bCs/>
                <w:color w:val="000000"/>
                <w:lang w:val="es-ES_tradnl"/>
              </w:rPr>
            </w:pPr>
          </w:p>
        </w:tc>
        <w:tc>
          <w:tcPr>
            <w:tcW w:w="22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s-ES_tradnl"/>
              </w:rPr>
            </w:pPr>
          </w:p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ENFERMOS</w:t>
            </w:r>
          </w:p>
        </w:tc>
        <w:tc>
          <w:tcPr>
            <w:tcW w:w="22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SANOS</w:t>
            </w:r>
          </w:p>
        </w:tc>
        <w:tc>
          <w:tcPr>
            <w:tcW w:w="22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TOTAL</w:t>
            </w:r>
          </w:p>
        </w:tc>
      </w:tr>
      <w:tr w:rsidR="00237F41" w:rsidTr="00237F41">
        <w:trPr>
          <w:trHeight w:val="681"/>
        </w:trPr>
        <w:tc>
          <w:tcPr>
            <w:tcW w:w="2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EXPUESTOS</w:t>
            </w:r>
          </w:p>
        </w:tc>
        <w:tc>
          <w:tcPr>
            <w:tcW w:w="22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22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144</w:t>
            </w:r>
          </w:p>
        </w:tc>
        <w:tc>
          <w:tcPr>
            <w:tcW w:w="22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164</w:t>
            </w:r>
          </w:p>
        </w:tc>
      </w:tr>
      <w:tr w:rsidR="00237F41" w:rsidTr="00237F41">
        <w:trPr>
          <w:trHeight w:val="693"/>
        </w:trPr>
        <w:tc>
          <w:tcPr>
            <w:tcW w:w="2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NO EXPUESTOS</w:t>
            </w:r>
          </w:p>
        </w:tc>
        <w:tc>
          <w:tcPr>
            <w:tcW w:w="22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26</w:t>
            </w:r>
          </w:p>
        </w:tc>
        <w:tc>
          <w:tcPr>
            <w:tcW w:w="22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164</w:t>
            </w:r>
          </w:p>
        </w:tc>
        <w:tc>
          <w:tcPr>
            <w:tcW w:w="22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190</w:t>
            </w:r>
          </w:p>
        </w:tc>
      </w:tr>
      <w:tr w:rsidR="00237F41" w:rsidTr="00237F41">
        <w:trPr>
          <w:trHeight w:val="681"/>
        </w:trPr>
        <w:tc>
          <w:tcPr>
            <w:tcW w:w="2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TOTAL:</w:t>
            </w:r>
          </w:p>
        </w:tc>
        <w:tc>
          <w:tcPr>
            <w:tcW w:w="22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46</w:t>
            </w:r>
          </w:p>
        </w:tc>
        <w:tc>
          <w:tcPr>
            <w:tcW w:w="22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308</w:t>
            </w:r>
          </w:p>
        </w:tc>
        <w:tc>
          <w:tcPr>
            <w:tcW w:w="22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237F41" w:rsidRDefault="0023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237F41" w:rsidRDefault="00237F4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354</w:t>
            </w:r>
          </w:p>
        </w:tc>
      </w:tr>
    </w:tbl>
    <w:p w:rsidR="00237F41" w:rsidRDefault="00237F41" w:rsidP="00237F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RR= 20 (20 + 144) / 26 (26 +164)</w:t>
      </w:r>
    </w:p>
    <w:p w:rsidR="00237F41" w:rsidRDefault="00237F41" w:rsidP="00237F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RR= 20 x 164 / 26 x 190</w:t>
      </w:r>
    </w:p>
    <w:p w:rsidR="00237F41" w:rsidRDefault="00237F41" w:rsidP="00237F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RR = 3280 / 4940 =   RIESGO RELATIVO: 0.66</w:t>
      </w:r>
    </w:p>
    <w:p w:rsidR="00237F41" w:rsidRDefault="00237F41" w:rsidP="00237F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PORCENTAJE DE RIESGO RELATIVO: 66. 39 %</w:t>
      </w:r>
    </w:p>
    <w:p w:rsidR="00237F41" w:rsidRDefault="00237F41" w:rsidP="00237F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lastRenderedPageBreak/>
        <w:t>RIESGO ATRIBUIBLE:</w:t>
      </w:r>
    </w:p>
    <w:p w:rsidR="00237F41" w:rsidRDefault="00237F41" w:rsidP="00237F4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RA = Incidencia en expuestos -  incidencia en no expuestos</w:t>
      </w:r>
    </w:p>
    <w:p w:rsidR="00237F41" w:rsidRDefault="00237F41" w:rsidP="00237F4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RA= 46 – 308 = 262</w:t>
      </w:r>
    </w:p>
    <w:p w:rsidR="00237F41" w:rsidRDefault="00237F41" w:rsidP="00237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237F41" w:rsidRDefault="00237F41" w:rsidP="00237F41">
      <w:pPr>
        <w:jc w:val="both"/>
        <w:rPr>
          <w:rFonts w:ascii="Arial" w:hAnsi="Arial" w:cs="Arial"/>
        </w:rPr>
      </w:pPr>
    </w:p>
    <w:p w:rsidR="00237F41" w:rsidRDefault="00237F41"/>
    <w:sectPr w:rsidR="00237F4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96" w:rsidRDefault="00FB7796" w:rsidP="00B442E5">
      <w:pPr>
        <w:spacing w:after="0" w:line="240" w:lineRule="auto"/>
      </w:pPr>
      <w:r>
        <w:separator/>
      </w:r>
    </w:p>
  </w:endnote>
  <w:endnote w:type="continuationSeparator" w:id="0">
    <w:p w:rsidR="00FB7796" w:rsidRDefault="00FB7796" w:rsidP="00B4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C2" w:rsidRDefault="003802C2" w:rsidP="003802C2">
    <w:pPr>
      <w:pStyle w:val="Piedepgina"/>
      <w:jc w:val="center"/>
    </w:pPr>
    <w:r>
      <w:t>MPI TANIA YURIXHI MENDOZA FREGOSO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96" w:rsidRDefault="00FB7796" w:rsidP="00B442E5">
      <w:pPr>
        <w:spacing w:after="0" w:line="240" w:lineRule="auto"/>
      </w:pPr>
      <w:r>
        <w:separator/>
      </w:r>
    </w:p>
  </w:footnote>
  <w:footnote w:type="continuationSeparator" w:id="0">
    <w:p w:rsidR="00FB7796" w:rsidRDefault="00FB7796" w:rsidP="00B4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E5" w:rsidRDefault="00B442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78606DF" wp14:editId="1BC2770D">
          <wp:simplePos x="0" y="0"/>
          <wp:positionH relativeFrom="margin">
            <wp:posOffset>1960880</wp:posOffset>
          </wp:positionH>
          <wp:positionV relativeFrom="margin">
            <wp:posOffset>-828040</wp:posOffset>
          </wp:positionV>
          <wp:extent cx="978535" cy="978535"/>
          <wp:effectExtent l="0" t="0" r="0" b="0"/>
          <wp:wrapSquare wrapText="bothSides"/>
          <wp:docPr id="3" name="Imagen 3" descr="http://www.enlacesmedicos.com/mb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enlacesmedicos.com/mbe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E5DDFA1" wp14:editId="4258D5EA">
          <wp:simplePos x="0" y="0"/>
          <wp:positionH relativeFrom="margin">
            <wp:posOffset>5126355</wp:posOffset>
          </wp:positionH>
          <wp:positionV relativeFrom="margin">
            <wp:posOffset>-760095</wp:posOffset>
          </wp:positionV>
          <wp:extent cx="1429385" cy="1296670"/>
          <wp:effectExtent l="0" t="0" r="0" b="0"/>
          <wp:wrapSquare wrapText="bothSides"/>
          <wp:docPr id="1" name="Imagen 1" descr="http://inpcochrane.org/uploads/3/1/3/0/3130051/7731693_or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pcochrane.org/uploads/3/1/3/0/3130051/7731693_orig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5135536" wp14:editId="31B8E557">
          <wp:simplePos x="0" y="0"/>
          <wp:positionH relativeFrom="margin">
            <wp:posOffset>-677545</wp:posOffset>
          </wp:positionH>
          <wp:positionV relativeFrom="margin">
            <wp:posOffset>-635000</wp:posOffset>
          </wp:positionV>
          <wp:extent cx="871220" cy="1392555"/>
          <wp:effectExtent l="0" t="0" r="5080" b="0"/>
          <wp:wrapSquare wrapText="bothSides"/>
          <wp:docPr id="2" name="Imagen 2" descr="http://elrincondesisifo.files.wordpress.com/2010/04/izi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lrincondesisifo.files.wordpress.com/2010/04/izi0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139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E5"/>
    <w:rsid w:val="00041EBA"/>
    <w:rsid w:val="00087490"/>
    <w:rsid w:val="000B5ABB"/>
    <w:rsid w:val="000D1285"/>
    <w:rsid w:val="0022679A"/>
    <w:rsid w:val="00237F41"/>
    <w:rsid w:val="002A1B21"/>
    <w:rsid w:val="00317DBD"/>
    <w:rsid w:val="00326D8B"/>
    <w:rsid w:val="003802C2"/>
    <w:rsid w:val="0056745E"/>
    <w:rsid w:val="005E43DD"/>
    <w:rsid w:val="006A31D3"/>
    <w:rsid w:val="00815763"/>
    <w:rsid w:val="00885F52"/>
    <w:rsid w:val="00A36A8C"/>
    <w:rsid w:val="00A468FF"/>
    <w:rsid w:val="00B442E5"/>
    <w:rsid w:val="00C2423D"/>
    <w:rsid w:val="00CC3415"/>
    <w:rsid w:val="00D2193A"/>
    <w:rsid w:val="00E11A53"/>
    <w:rsid w:val="00F73ADB"/>
    <w:rsid w:val="00FB7796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2E5"/>
  </w:style>
  <w:style w:type="paragraph" w:styleId="Piedepgina">
    <w:name w:val="footer"/>
    <w:basedOn w:val="Normal"/>
    <w:link w:val="PiedepginaCar"/>
    <w:uiPriority w:val="99"/>
    <w:unhideWhenUsed/>
    <w:rsid w:val="00B44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2E5"/>
  </w:style>
  <w:style w:type="paragraph" w:styleId="Textodeglobo">
    <w:name w:val="Balloon Text"/>
    <w:basedOn w:val="Normal"/>
    <w:link w:val="TextodegloboCar"/>
    <w:uiPriority w:val="99"/>
    <w:semiHidden/>
    <w:unhideWhenUsed/>
    <w:rsid w:val="00B4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2E5"/>
    <w:rPr>
      <w:rFonts w:ascii="Tahoma" w:hAnsi="Tahoma" w:cs="Tahoma"/>
      <w:sz w:val="16"/>
      <w:szCs w:val="16"/>
    </w:rPr>
  </w:style>
  <w:style w:type="paragraph" w:styleId="Ttulo">
    <w:name w:val="Title"/>
    <w:next w:val="Cuerpo2"/>
    <w:link w:val="TtuloCar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jc w:val="center"/>
      <w:outlineLvl w:val="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character" w:customStyle="1" w:styleId="TtuloCar">
    <w:name w:val="Título Car"/>
    <w:basedOn w:val="Fuentedeprrafopredeter"/>
    <w:link w:val="Ttulo"/>
    <w:rsid w:val="006A31D3"/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customStyle="1" w:styleId="Cuerpo2">
    <w:name w:val="Cuerpo 2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72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styleId="Cita">
    <w:name w:val="Quote"/>
    <w:link w:val="CitaCar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left="144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character" w:customStyle="1" w:styleId="CitaCar">
    <w:name w:val="Cita Car"/>
    <w:basedOn w:val="Fuentedeprrafopredeter"/>
    <w:link w:val="Cita"/>
    <w:rsid w:val="006A31D3"/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customStyle="1" w:styleId="Cuerpo3">
    <w:name w:val="Cuerpo 3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MX"/>
    </w:rPr>
  </w:style>
  <w:style w:type="table" w:styleId="Tablaconcuadrcula">
    <w:name w:val="Table Grid"/>
    <w:basedOn w:val="Tablanormal"/>
    <w:uiPriority w:val="59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567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2E5"/>
  </w:style>
  <w:style w:type="paragraph" w:styleId="Piedepgina">
    <w:name w:val="footer"/>
    <w:basedOn w:val="Normal"/>
    <w:link w:val="PiedepginaCar"/>
    <w:uiPriority w:val="99"/>
    <w:unhideWhenUsed/>
    <w:rsid w:val="00B44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2E5"/>
  </w:style>
  <w:style w:type="paragraph" w:styleId="Textodeglobo">
    <w:name w:val="Balloon Text"/>
    <w:basedOn w:val="Normal"/>
    <w:link w:val="TextodegloboCar"/>
    <w:uiPriority w:val="99"/>
    <w:semiHidden/>
    <w:unhideWhenUsed/>
    <w:rsid w:val="00B4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2E5"/>
    <w:rPr>
      <w:rFonts w:ascii="Tahoma" w:hAnsi="Tahoma" w:cs="Tahoma"/>
      <w:sz w:val="16"/>
      <w:szCs w:val="16"/>
    </w:rPr>
  </w:style>
  <w:style w:type="paragraph" w:styleId="Ttulo">
    <w:name w:val="Title"/>
    <w:next w:val="Cuerpo2"/>
    <w:link w:val="TtuloCar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jc w:val="center"/>
      <w:outlineLvl w:val="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character" w:customStyle="1" w:styleId="TtuloCar">
    <w:name w:val="Título Car"/>
    <w:basedOn w:val="Fuentedeprrafopredeter"/>
    <w:link w:val="Ttulo"/>
    <w:rsid w:val="006A31D3"/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customStyle="1" w:styleId="Cuerpo2">
    <w:name w:val="Cuerpo 2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72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styleId="Cita">
    <w:name w:val="Quote"/>
    <w:link w:val="CitaCar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left="144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character" w:customStyle="1" w:styleId="CitaCar">
    <w:name w:val="Cita Car"/>
    <w:basedOn w:val="Fuentedeprrafopredeter"/>
    <w:link w:val="Cita"/>
    <w:rsid w:val="006A31D3"/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customStyle="1" w:styleId="Cuerpo3">
    <w:name w:val="Cuerpo 3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MX"/>
    </w:rPr>
  </w:style>
  <w:style w:type="table" w:styleId="Tablaconcuadrcula">
    <w:name w:val="Table Grid"/>
    <w:basedOn w:val="Tablanormal"/>
    <w:uiPriority w:val="59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56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3</cp:revision>
  <dcterms:created xsi:type="dcterms:W3CDTF">2015-02-23T22:50:00Z</dcterms:created>
  <dcterms:modified xsi:type="dcterms:W3CDTF">2015-03-03T20:05:00Z</dcterms:modified>
</cp:coreProperties>
</file>