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33770122"/>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643"/>
            <w:gridCol w:w="2875"/>
          </w:tblGrid>
          <w:tr w:rsidR="0081662A" w:rsidTr="0081662A">
            <w:trPr>
              <w:trHeight w:val="1545"/>
            </w:trPr>
            <w:tc>
              <w:tcPr>
                <w:tcW w:w="1643" w:type="dxa"/>
                <w:tcBorders>
                  <w:right w:val="single" w:sz="4" w:space="0" w:color="FFFFFF" w:themeColor="background1"/>
                </w:tcBorders>
                <w:shd w:val="clear" w:color="auto" w:fill="943634" w:themeFill="accent2" w:themeFillShade="BF"/>
              </w:tcPr>
              <w:p w:rsidR="0081662A" w:rsidRDefault="0081662A"/>
            </w:tc>
            <w:sdt>
              <w:sdtPr>
                <w:rPr>
                  <w:rFonts w:asciiTheme="majorHAnsi" w:eastAsiaTheme="majorEastAsia" w:hAnsiTheme="majorHAnsi" w:cstheme="majorBidi"/>
                  <w:b/>
                  <w:bCs/>
                  <w:color w:val="FFFFFF" w:themeColor="background1"/>
                  <w:sz w:val="56"/>
                  <w:szCs w:val="72"/>
                </w:rPr>
                <w:alias w:val="Año"/>
                <w:id w:val="15676118"/>
                <w:placeholder>
                  <w:docPart w:val="D137A258FAF342E3A2CCD4C00E11E0CC"/>
                </w:placeholder>
                <w:dataBinding w:prefixMappings="xmlns:ns0='http://schemas.microsoft.com/office/2006/coverPageProps'" w:xpath="/ns0:CoverPageProperties[1]/ns0:PublishDate[1]" w:storeItemID="{55AF091B-3C7A-41E3-B477-F2FDAA23CFDA}"/>
                <w:date w:fullDate="2012-09-19T00:00:00Z">
                  <w:dateFormat w:val="yyyy"/>
                  <w:lid w:val="es-ES"/>
                  <w:storeMappedDataAs w:val="dateTime"/>
                  <w:calendar w:val="gregorian"/>
                </w:date>
              </w:sdtPr>
              <w:sdtContent>
                <w:tc>
                  <w:tcPr>
                    <w:tcW w:w="2875" w:type="dxa"/>
                    <w:tcBorders>
                      <w:left w:val="single" w:sz="4" w:space="0" w:color="FFFFFF" w:themeColor="background1"/>
                    </w:tcBorders>
                    <w:shd w:val="clear" w:color="auto" w:fill="943634" w:themeFill="accent2" w:themeFillShade="BF"/>
                    <w:vAlign w:val="bottom"/>
                  </w:tcPr>
                  <w:p w:rsidR="0081662A" w:rsidRDefault="00861289" w:rsidP="0081662A">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72"/>
                      </w:rPr>
                      <w:t>2012</w:t>
                    </w:r>
                  </w:p>
                </w:tc>
              </w:sdtContent>
            </w:sdt>
          </w:tr>
          <w:tr w:rsidR="0081662A" w:rsidTr="0081662A">
            <w:trPr>
              <w:trHeight w:val="3089"/>
            </w:trPr>
            <w:tc>
              <w:tcPr>
                <w:tcW w:w="1643" w:type="dxa"/>
                <w:tcBorders>
                  <w:right w:val="single" w:sz="4" w:space="0" w:color="000000" w:themeColor="text1"/>
                </w:tcBorders>
              </w:tcPr>
              <w:p w:rsidR="0081662A" w:rsidRDefault="0081662A"/>
            </w:tc>
            <w:tc>
              <w:tcPr>
                <w:tcW w:w="2875" w:type="dxa"/>
                <w:tcBorders>
                  <w:left w:val="single" w:sz="4" w:space="0" w:color="000000" w:themeColor="text1"/>
                </w:tcBorders>
                <w:vAlign w:val="center"/>
              </w:tcPr>
              <w:sdt>
                <w:sdtPr>
                  <w:rPr>
                    <w:b/>
                    <w:color w:val="000000" w:themeColor="text1"/>
                    <w:sz w:val="32"/>
                  </w:rPr>
                  <w:alias w:val="Compañía"/>
                  <w:id w:val="15676123"/>
                  <w:placeholder>
                    <w:docPart w:val="54952F1DEB1E4156A1D1F98BE4088640"/>
                  </w:placeholder>
                  <w:dataBinding w:prefixMappings="xmlns:ns0='http://schemas.openxmlformats.org/officeDocument/2006/extended-properties'" w:xpath="/ns0:Properties[1]/ns0:Company[1]" w:storeItemID="{6668398D-A668-4E3E-A5EB-62B293D839F1}"/>
                  <w:text/>
                </w:sdtPr>
                <w:sdtContent>
                  <w:p w:rsidR="0081662A" w:rsidRPr="0081662A" w:rsidRDefault="0081662A">
                    <w:pPr>
                      <w:pStyle w:val="Sinespaciado"/>
                      <w:rPr>
                        <w:b/>
                        <w:color w:val="000000" w:themeColor="text1"/>
                        <w:sz w:val="32"/>
                      </w:rPr>
                    </w:pPr>
                    <w:r w:rsidRPr="0081662A">
                      <w:rPr>
                        <w:b/>
                        <w:color w:val="000000" w:themeColor="text1"/>
                        <w:sz w:val="32"/>
                      </w:rPr>
                      <w:t xml:space="preserve">Universidad Guadalajara Lamar </w:t>
                    </w:r>
                  </w:p>
                </w:sdtContent>
              </w:sdt>
              <w:p w:rsidR="0081662A" w:rsidRDefault="0081662A">
                <w:pPr>
                  <w:pStyle w:val="Sinespaciado"/>
                  <w:rPr>
                    <w:color w:val="76923C" w:themeColor="accent3" w:themeShade="BF"/>
                  </w:rPr>
                </w:pPr>
              </w:p>
              <w:p w:rsidR="0081662A" w:rsidRDefault="0081662A">
                <w:pPr>
                  <w:pStyle w:val="Sinespaciado"/>
                  <w:rPr>
                    <w:color w:val="76923C" w:themeColor="accent3" w:themeShade="BF"/>
                  </w:rPr>
                </w:pPr>
              </w:p>
            </w:tc>
          </w:tr>
        </w:tbl>
        <w:p w:rsidR="0081662A" w:rsidRDefault="0081662A"/>
        <w:p w:rsidR="0081662A" w:rsidRDefault="0081662A"/>
        <w:p w:rsidR="0081662A" w:rsidRDefault="0081662A"/>
        <w:tbl>
          <w:tblPr>
            <w:tblpPr w:leftFromText="187" w:rightFromText="187" w:vertAnchor="page" w:horzAnchor="margin" w:tblpY="12400"/>
            <w:tblW w:w="5000" w:type="pct"/>
            <w:tblLook w:val="04A0" w:firstRow="1" w:lastRow="0" w:firstColumn="1" w:lastColumn="0" w:noHBand="0" w:noVBand="1"/>
          </w:tblPr>
          <w:tblGrid>
            <w:gridCol w:w="9917"/>
          </w:tblGrid>
          <w:tr w:rsidR="00861289" w:rsidTr="00861289">
            <w:trPr>
              <w:trHeight w:val="1211"/>
            </w:trPr>
            <w:tc>
              <w:tcPr>
                <w:tcW w:w="0" w:type="auto"/>
              </w:tcPr>
              <w:p w:rsidR="00861289" w:rsidRPr="0081662A" w:rsidRDefault="00861289" w:rsidP="00861289">
                <w:pPr>
                  <w:pStyle w:val="Default"/>
                  <w:rPr>
                    <w:rFonts w:ascii="Times New Roman" w:hAnsi="Times New Roman" w:cs="Times New Roman"/>
                  </w:rPr>
                </w:pPr>
                <w:r w:rsidRPr="00861289">
                  <w:rPr>
                    <w:b/>
                    <w:bCs/>
                    <w:caps/>
                    <w:color w:val="76923C" w:themeColor="accent3" w:themeShade="BF"/>
                    <w:sz w:val="96"/>
                    <w:szCs w:val="72"/>
                  </w:rPr>
                  <w:t>[</w:t>
                </w:r>
                <w:r w:rsidRPr="00861289">
                  <w:rPr>
                    <w:rFonts w:ascii="Times New Roman" w:hAnsi="Times New Roman" w:cs="Times New Roman"/>
                    <w:sz w:val="28"/>
                  </w:rPr>
                  <w:t xml:space="preserve"> </w:t>
                </w:r>
                <w:r w:rsidRPr="00861289">
                  <w:rPr>
                    <w:rFonts w:ascii="Bradley Hand ITC" w:hAnsi="Bradley Hand ITC" w:cs="Times New Roman"/>
                    <w:b/>
                    <w:bCs/>
                    <w:sz w:val="44"/>
                    <w:szCs w:val="30"/>
                  </w:rPr>
                  <w:t>Diagnóstico de Pleuritis tuberculosa con ADA</w:t>
                </w:r>
                <w:r>
                  <w:rPr>
                    <w:b/>
                    <w:bCs/>
                    <w:caps/>
                    <w:color w:val="76923C" w:themeColor="accent3" w:themeShade="BF"/>
                    <w:sz w:val="72"/>
                    <w:szCs w:val="72"/>
                  </w:rPr>
                  <w:t>]</w:t>
                </w:r>
              </w:p>
            </w:tc>
          </w:tr>
          <w:tr w:rsidR="00861289" w:rsidTr="00861289">
            <w:trPr>
              <w:trHeight w:val="386"/>
            </w:trPr>
            <w:sdt>
              <w:sdtPr>
                <w:rPr>
                  <w:color w:val="808080" w:themeColor="background1" w:themeShade="80"/>
                  <w:sz w:val="32"/>
                </w:rPr>
                <w:alias w:val="Descripción breve"/>
                <w:id w:val="15676143"/>
                <w:placeholder>
                  <w:docPart w:val="7EE6AE19E2704B7F9DD0E711AFA1E571"/>
                </w:placeholder>
                <w:dataBinding w:prefixMappings="xmlns:ns0='http://schemas.microsoft.com/office/2006/coverPageProps'" w:xpath="/ns0:CoverPageProperties[1]/ns0:Abstract[1]" w:storeItemID="{55AF091B-3C7A-41E3-B477-F2FDAA23CFDA}"/>
                <w:text/>
              </w:sdtPr>
              <w:sdtContent>
                <w:tc>
                  <w:tcPr>
                    <w:tcW w:w="0" w:type="auto"/>
                  </w:tcPr>
                  <w:p w:rsidR="00861289" w:rsidRDefault="00861289" w:rsidP="00861289">
                    <w:pPr>
                      <w:pStyle w:val="Sinespaciado"/>
                      <w:rPr>
                        <w:color w:val="808080" w:themeColor="background1" w:themeShade="80"/>
                      </w:rPr>
                    </w:pPr>
                    <w:r w:rsidRPr="00861289">
                      <w:rPr>
                        <w:color w:val="808080" w:themeColor="background1" w:themeShade="80"/>
                        <w:sz w:val="32"/>
                      </w:rPr>
                      <w:t>Medicina Basada en Evidencias</w:t>
                    </w:r>
                    <w:r>
                      <w:rPr>
                        <w:color w:val="808080" w:themeColor="background1" w:themeShade="80"/>
                        <w:sz w:val="32"/>
                      </w:rPr>
                      <w:t>.     Rodríguez Gómez Jaqueline.       Hospital Regional ISSSTE Dr. Valentín Gómez Farías</w:t>
                    </w:r>
                  </w:p>
                </w:tc>
              </w:sdtContent>
            </w:sdt>
          </w:tr>
        </w:tbl>
        <w:p w:rsidR="0081662A" w:rsidRDefault="00861289">
          <w:r w:rsidRPr="00861289">
            <w:drawing>
              <wp:anchor distT="0" distB="0" distL="114300" distR="114300" simplePos="0" relativeHeight="251658240" behindDoc="1" locked="0" layoutInCell="1" allowOverlap="1" wp14:anchorId="398CAD16" wp14:editId="64D8FDC8">
                <wp:simplePos x="0" y="0"/>
                <wp:positionH relativeFrom="column">
                  <wp:posOffset>-636823</wp:posOffset>
                </wp:positionH>
                <wp:positionV relativeFrom="paragraph">
                  <wp:posOffset>1407449</wp:posOffset>
                </wp:positionV>
                <wp:extent cx="3816424" cy="2029818"/>
                <wp:effectExtent l="0" t="0" r="0" b="8890"/>
                <wp:wrapNone/>
                <wp:docPr id="4" name="Picture 4" descr="http://www.lamar.edu.mx/portalservicios/sites/default/files/garl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lamar.edu.mx/portalservicios/sites/default/files/garland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424" cy="202981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1662A">
            <w:br w:type="page"/>
          </w:r>
        </w:p>
        <w:bookmarkStart w:id="0" w:name="_GoBack" w:displacedByCustomXml="next"/>
        <w:bookmarkEnd w:id="0" w:displacedByCustomXml="next"/>
      </w:sdtContent>
    </w:sdt>
    <w:p w:rsidR="0081662A" w:rsidRDefault="0081662A"/>
    <w:tbl>
      <w:tblPr>
        <w:tblStyle w:val="Cuadrculamedia3-nfasis5"/>
        <w:tblpPr w:leftFromText="141" w:rightFromText="141" w:tblpY="475"/>
        <w:tblW w:w="0" w:type="auto"/>
        <w:tblLook w:val="04A0" w:firstRow="1" w:lastRow="0" w:firstColumn="1" w:lastColumn="0" w:noHBand="0" w:noVBand="1"/>
      </w:tblPr>
      <w:tblGrid>
        <w:gridCol w:w="2893"/>
        <w:gridCol w:w="2893"/>
        <w:gridCol w:w="2894"/>
      </w:tblGrid>
      <w:tr w:rsidR="003C21E2" w:rsidTr="0081662A">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893" w:type="dxa"/>
          </w:tcPr>
          <w:p w:rsidR="003C21E2" w:rsidRPr="003C21E2" w:rsidRDefault="003C21E2" w:rsidP="0081662A">
            <w:pPr>
              <w:jc w:val="center"/>
              <w:rPr>
                <w:sz w:val="36"/>
              </w:rPr>
            </w:pPr>
            <w:r w:rsidRPr="003C21E2">
              <w:rPr>
                <w:sz w:val="36"/>
              </w:rPr>
              <w:t>ADA</w:t>
            </w:r>
          </w:p>
        </w:tc>
        <w:tc>
          <w:tcPr>
            <w:tcW w:w="2893" w:type="dxa"/>
          </w:tcPr>
          <w:p w:rsidR="003C21E2" w:rsidRPr="003C21E2" w:rsidRDefault="003C21E2" w:rsidP="0081662A">
            <w:pPr>
              <w:jc w:val="center"/>
              <w:cnfStyle w:val="100000000000" w:firstRow="1" w:lastRow="0" w:firstColumn="0" w:lastColumn="0" w:oddVBand="0" w:evenVBand="0" w:oddHBand="0" w:evenHBand="0" w:firstRowFirstColumn="0" w:firstRowLastColumn="0" w:lastRowFirstColumn="0" w:lastRowLastColumn="0"/>
              <w:rPr>
                <w:sz w:val="36"/>
              </w:rPr>
            </w:pPr>
            <w:r w:rsidRPr="003C21E2">
              <w:rPr>
                <w:sz w:val="36"/>
              </w:rPr>
              <w:t>ENFERMOS (+)</w:t>
            </w:r>
          </w:p>
        </w:tc>
        <w:tc>
          <w:tcPr>
            <w:tcW w:w="2894" w:type="dxa"/>
          </w:tcPr>
          <w:p w:rsidR="003C21E2" w:rsidRPr="003C21E2" w:rsidRDefault="003C21E2" w:rsidP="0081662A">
            <w:pPr>
              <w:jc w:val="center"/>
              <w:cnfStyle w:val="100000000000" w:firstRow="1" w:lastRow="0" w:firstColumn="0" w:lastColumn="0" w:oddVBand="0" w:evenVBand="0" w:oddHBand="0" w:evenHBand="0" w:firstRowFirstColumn="0" w:firstRowLastColumn="0" w:lastRowFirstColumn="0" w:lastRowLastColumn="0"/>
              <w:rPr>
                <w:sz w:val="36"/>
              </w:rPr>
            </w:pPr>
            <w:r w:rsidRPr="003C21E2">
              <w:rPr>
                <w:sz w:val="36"/>
              </w:rPr>
              <w:t>SANOS (-)</w:t>
            </w:r>
          </w:p>
        </w:tc>
      </w:tr>
      <w:tr w:rsidR="003C21E2" w:rsidTr="0081662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893" w:type="dxa"/>
          </w:tcPr>
          <w:p w:rsidR="003C21E2" w:rsidRPr="003C21E2" w:rsidRDefault="003C21E2" w:rsidP="0081662A">
            <w:pPr>
              <w:jc w:val="center"/>
              <w:rPr>
                <w:sz w:val="36"/>
              </w:rPr>
            </w:pPr>
          </w:p>
        </w:tc>
        <w:tc>
          <w:tcPr>
            <w:tcW w:w="2893" w:type="dxa"/>
          </w:tcPr>
          <w:p w:rsidR="003C21E2" w:rsidRPr="003C21E2" w:rsidRDefault="003C21E2" w:rsidP="0081662A">
            <w:pPr>
              <w:jc w:val="center"/>
              <w:cnfStyle w:val="000000100000" w:firstRow="0" w:lastRow="0" w:firstColumn="0" w:lastColumn="0" w:oddVBand="0" w:evenVBand="0" w:oddHBand="1" w:evenHBand="0" w:firstRowFirstColumn="0" w:firstRowLastColumn="0" w:lastRowFirstColumn="0" w:lastRowLastColumn="0"/>
              <w:rPr>
                <w:sz w:val="36"/>
              </w:rPr>
            </w:pPr>
            <w:r w:rsidRPr="003C21E2">
              <w:rPr>
                <w:sz w:val="36"/>
              </w:rPr>
              <w:t>VP</w:t>
            </w:r>
          </w:p>
        </w:tc>
        <w:tc>
          <w:tcPr>
            <w:tcW w:w="2894" w:type="dxa"/>
          </w:tcPr>
          <w:p w:rsidR="003C21E2" w:rsidRPr="003C21E2" w:rsidRDefault="003C21E2" w:rsidP="0081662A">
            <w:pPr>
              <w:jc w:val="center"/>
              <w:cnfStyle w:val="000000100000" w:firstRow="0" w:lastRow="0" w:firstColumn="0" w:lastColumn="0" w:oddVBand="0" w:evenVBand="0" w:oddHBand="1" w:evenHBand="0" w:firstRowFirstColumn="0" w:firstRowLastColumn="0" w:lastRowFirstColumn="0" w:lastRowLastColumn="0"/>
              <w:rPr>
                <w:sz w:val="36"/>
              </w:rPr>
            </w:pPr>
            <w:r w:rsidRPr="003C21E2">
              <w:rPr>
                <w:sz w:val="36"/>
              </w:rPr>
              <w:t>FP</w:t>
            </w:r>
          </w:p>
        </w:tc>
      </w:tr>
      <w:tr w:rsidR="003C21E2" w:rsidTr="0081662A">
        <w:trPr>
          <w:trHeight w:val="467"/>
        </w:trPr>
        <w:tc>
          <w:tcPr>
            <w:cnfStyle w:val="001000000000" w:firstRow="0" w:lastRow="0" w:firstColumn="1" w:lastColumn="0" w:oddVBand="0" w:evenVBand="0" w:oddHBand="0" w:evenHBand="0" w:firstRowFirstColumn="0" w:firstRowLastColumn="0" w:lastRowFirstColumn="0" w:lastRowLastColumn="0"/>
            <w:tcW w:w="2893" w:type="dxa"/>
          </w:tcPr>
          <w:p w:rsidR="003C21E2" w:rsidRPr="003C21E2" w:rsidRDefault="003C21E2" w:rsidP="0081662A">
            <w:pPr>
              <w:jc w:val="center"/>
              <w:rPr>
                <w:sz w:val="36"/>
              </w:rPr>
            </w:pPr>
            <w:r w:rsidRPr="003C21E2">
              <w:rPr>
                <w:sz w:val="36"/>
              </w:rPr>
              <w:t>(+)</w:t>
            </w:r>
          </w:p>
        </w:tc>
        <w:tc>
          <w:tcPr>
            <w:tcW w:w="2893" w:type="dxa"/>
          </w:tcPr>
          <w:p w:rsidR="003C21E2" w:rsidRPr="003C21E2" w:rsidRDefault="003C21E2" w:rsidP="0081662A">
            <w:pPr>
              <w:jc w:val="center"/>
              <w:cnfStyle w:val="000000000000" w:firstRow="0" w:lastRow="0" w:firstColumn="0" w:lastColumn="0" w:oddVBand="0" w:evenVBand="0" w:oddHBand="0" w:evenHBand="0" w:firstRowFirstColumn="0" w:firstRowLastColumn="0" w:lastRowFirstColumn="0" w:lastRowLastColumn="0"/>
              <w:rPr>
                <w:sz w:val="36"/>
              </w:rPr>
            </w:pPr>
            <w:r>
              <w:rPr>
                <w:sz w:val="36"/>
              </w:rPr>
              <w:t>a)</w:t>
            </w:r>
            <w:r w:rsidRPr="003C21E2">
              <w:rPr>
                <w:sz w:val="36"/>
              </w:rPr>
              <w:t>17</w:t>
            </w:r>
          </w:p>
        </w:tc>
        <w:tc>
          <w:tcPr>
            <w:tcW w:w="2894" w:type="dxa"/>
          </w:tcPr>
          <w:p w:rsidR="003C21E2" w:rsidRPr="003C21E2" w:rsidRDefault="003C21E2" w:rsidP="0081662A">
            <w:pPr>
              <w:jc w:val="center"/>
              <w:cnfStyle w:val="000000000000" w:firstRow="0" w:lastRow="0" w:firstColumn="0" w:lastColumn="0" w:oddVBand="0" w:evenVBand="0" w:oddHBand="0" w:evenHBand="0" w:firstRowFirstColumn="0" w:firstRowLastColumn="0" w:lastRowFirstColumn="0" w:lastRowLastColumn="0"/>
              <w:rPr>
                <w:sz w:val="36"/>
              </w:rPr>
            </w:pPr>
            <w:r>
              <w:rPr>
                <w:sz w:val="36"/>
              </w:rPr>
              <w:t>b)</w:t>
            </w:r>
            <w:r w:rsidRPr="003C21E2">
              <w:rPr>
                <w:sz w:val="36"/>
              </w:rPr>
              <w:t>2</w:t>
            </w:r>
          </w:p>
        </w:tc>
      </w:tr>
      <w:tr w:rsidR="003C21E2" w:rsidTr="0081662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893" w:type="dxa"/>
          </w:tcPr>
          <w:p w:rsidR="003C21E2" w:rsidRPr="003C21E2" w:rsidRDefault="003C21E2" w:rsidP="0081662A">
            <w:pPr>
              <w:jc w:val="center"/>
              <w:rPr>
                <w:sz w:val="36"/>
              </w:rPr>
            </w:pPr>
          </w:p>
        </w:tc>
        <w:tc>
          <w:tcPr>
            <w:tcW w:w="2893" w:type="dxa"/>
          </w:tcPr>
          <w:p w:rsidR="003C21E2" w:rsidRPr="003C21E2" w:rsidRDefault="003C21E2" w:rsidP="0081662A">
            <w:pPr>
              <w:jc w:val="center"/>
              <w:cnfStyle w:val="000000100000" w:firstRow="0" w:lastRow="0" w:firstColumn="0" w:lastColumn="0" w:oddVBand="0" w:evenVBand="0" w:oddHBand="1" w:evenHBand="0" w:firstRowFirstColumn="0" w:firstRowLastColumn="0" w:lastRowFirstColumn="0" w:lastRowLastColumn="0"/>
              <w:rPr>
                <w:sz w:val="36"/>
              </w:rPr>
            </w:pPr>
            <w:r w:rsidRPr="003C21E2">
              <w:rPr>
                <w:sz w:val="36"/>
              </w:rPr>
              <w:t>FN</w:t>
            </w:r>
          </w:p>
        </w:tc>
        <w:tc>
          <w:tcPr>
            <w:tcW w:w="2894" w:type="dxa"/>
          </w:tcPr>
          <w:p w:rsidR="003C21E2" w:rsidRPr="003C21E2" w:rsidRDefault="003C21E2" w:rsidP="0081662A">
            <w:pPr>
              <w:jc w:val="center"/>
              <w:cnfStyle w:val="000000100000" w:firstRow="0" w:lastRow="0" w:firstColumn="0" w:lastColumn="0" w:oddVBand="0" w:evenVBand="0" w:oddHBand="1" w:evenHBand="0" w:firstRowFirstColumn="0" w:firstRowLastColumn="0" w:lastRowFirstColumn="0" w:lastRowLastColumn="0"/>
              <w:rPr>
                <w:sz w:val="36"/>
              </w:rPr>
            </w:pPr>
            <w:r w:rsidRPr="003C21E2">
              <w:rPr>
                <w:sz w:val="36"/>
              </w:rPr>
              <w:t>VN</w:t>
            </w:r>
          </w:p>
        </w:tc>
      </w:tr>
      <w:tr w:rsidR="003C21E2" w:rsidTr="0081662A">
        <w:trPr>
          <w:trHeight w:val="467"/>
        </w:trPr>
        <w:tc>
          <w:tcPr>
            <w:cnfStyle w:val="001000000000" w:firstRow="0" w:lastRow="0" w:firstColumn="1" w:lastColumn="0" w:oddVBand="0" w:evenVBand="0" w:oddHBand="0" w:evenHBand="0" w:firstRowFirstColumn="0" w:firstRowLastColumn="0" w:lastRowFirstColumn="0" w:lastRowLastColumn="0"/>
            <w:tcW w:w="2893" w:type="dxa"/>
          </w:tcPr>
          <w:p w:rsidR="003C21E2" w:rsidRPr="003C21E2" w:rsidRDefault="003C21E2" w:rsidP="0081662A">
            <w:pPr>
              <w:jc w:val="center"/>
              <w:rPr>
                <w:sz w:val="36"/>
              </w:rPr>
            </w:pPr>
            <w:r w:rsidRPr="003C21E2">
              <w:rPr>
                <w:sz w:val="36"/>
              </w:rPr>
              <w:t>(-)</w:t>
            </w:r>
          </w:p>
        </w:tc>
        <w:tc>
          <w:tcPr>
            <w:tcW w:w="2893" w:type="dxa"/>
          </w:tcPr>
          <w:p w:rsidR="003C21E2" w:rsidRPr="003C21E2" w:rsidRDefault="003C21E2" w:rsidP="0081662A">
            <w:pPr>
              <w:tabs>
                <w:tab w:val="left" w:pos="1085"/>
                <w:tab w:val="center" w:pos="1338"/>
              </w:tabs>
              <w:jc w:val="center"/>
              <w:cnfStyle w:val="000000000000" w:firstRow="0" w:lastRow="0" w:firstColumn="0" w:lastColumn="0" w:oddVBand="0" w:evenVBand="0" w:oddHBand="0" w:evenHBand="0" w:firstRowFirstColumn="0" w:firstRowLastColumn="0" w:lastRowFirstColumn="0" w:lastRowLastColumn="0"/>
              <w:rPr>
                <w:sz w:val="36"/>
              </w:rPr>
            </w:pPr>
            <w:r>
              <w:rPr>
                <w:sz w:val="36"/>
              </w:rPr>
              <w:t>c)</w:t>
            </w:r>
            <w:r w:rsidRPr="003C21E2">
              <w:rPr>
                <w:sz w:val="36"/>
              </w:rPr>
              <w:t>28</w:t>
            </w:r>
          </w:p>
        </w:tc>
        <w:tc>
          <w:tcPr>
            <w:tcW w:w="2894" w:type="dxa"/>
          </w:tcPr>
          <w:p w:rsidR="003C21E2" w:rsidRPr="003C21E2" w:rsidRDefault="003C21E2" w:rsidP="0081662A">
            <w:pPr>
              <w:jc w:val="center"/>
              <w:cnfStyle w:val="000000000000" w:firstRow="0" w:lastRow="0" w:firstColumn="0" w:lastColumn="0" w:oddVBand="0" w:evenVBand="0" w:oddHBand="0" w:evenHBand="0" w:firstRowFirstColumn="0" w:firstRowLastColumn="0" w:lastRowFirstColumn="0" w:lastRowLastColumn="0"/>
              <w:rPr>
                <w:sz w:val="36"/>
              </w:rPr>
            </w:pPr>
            <w:r>
              <w:rPr>
                <w:sz w:val="36"/>
              </w:rPr>
              <w:t>d)</w:t>
            </w:r>
            <w:r w:rsidRPr="003C21E2">
              <w:rPr>
                <w:sz w:val="36"/>
              </w:rPr>
              <w:t>53</w:t>
            </w:r>
          </w:p>
        </w:tc>
      </w:tr>
    </w:tbl>
    <w:p w:rsidR="0081662A" w:rsidRDefault="0081662A" w:rsidP="00072851">
      <w:pPr>
        <w:tabs>
          <w:tab w:val="left" w:pos="1985"/>
        </w:tabs>
      </w:pPr>
    </w:p>
    <w:p w:rsidR="0081662A" w:rsidRDefault="0081662A" w:rsidP="00072851">
      <w:pPr>
        <w:tabs>
          <w:tab w:val="left" w:pos="1985"/>
        </w:tabs>
      </w:pPr>
    </w:p>
    <w:p w:rsidR="0081662A" w:rsidRDefault="0081662A" w:rsidP="00072851">
      <w:pPr>
        <w:tabs>
          <w:tab w:val="left" w:pos="1985"/>
        </w:tabs>
      </w:pPr>
    </w:p>
    <w:p w:rsidR="0081662A" w:rsidRDefault="0081662A" w:rsidP="00072851">
      <w:pPr>
        <w:tabs>
          <w:tab w:val="left" w:pos="1985"/>
        </w:tabs>
      </w:pPr>
    </w:p>
    <w:p w:rsidR="0081662A" w:rsidRDefault="0081662A" w:rsidP="00072851">
      <w:pPr>
        <w:tabs>
          <w:tab w:val="left" w:pos="1985"/>
        </w:tabs>
      </w:pPr>
    </w:p>
    <w:p w:rsidR="0081662A" w:rsidRDefault="0081662A" w:rsidP="00072851">
      <w:pPr>
        <w:tabs>
          <w:tab w:val="left" w:pos="1985"/>
        </w:tabs>
      </w:pPr>
    </w:p>
    <w:p w:rsidR="0081662A" w:rsidRDefault="0081662A" w:rsidP="00072851">
      <w:pPr>
        <w:tabs>
          <w:tab w:val="left" w:pos="1985"/>
        </w:tabs>
      </w:pPr>
    </w:p>
    <w:p w:rsidR="0081662A" w:rsidRDefault="0081662A" w:rsidP="00072851">
      <w:pPr>
        <w:tabs>
          <w:tab w:val="left" w:pos="1985"/>
        </w:tabs>
      </w:pPr>
    </w:p>
    <w:p w:rsidR="00072851" w:rsidRPr="0081662A" w:rsidRDefault="00072851" w:rsidP="00072851">
      <w:pPr>
        <w:tabs>
          <w:tab w:val="left" w:pos="1985"/>
        </w:tabs>
        <w:rPr>
          <w:rFonts w:ascii="Tahoma" w:hAnsi="Tahoma" w:cs="Tahoma"/>
        </w:rPr>
      </w:pPr>
      <w:r w:rsidRPr="0081662A">
        <w:rPr>
          <w:rFonts w:ascii="Tahoma" w:hAnsi="Tahoma" w:cs="Tahoma"/>
          <w:b/>
        </w:rPr>
        <w:t>Sensibilidad:</w:t>
      </w:r>
      <w:r w:rsidRPr="0081662A">
        <w:rPr>
          <w:rFonts w:ascii="Tahoma" w:hAnsi="Tahoma" w:cs="Tahoma"/>
        </w:rPr>
        <w:t xml:space="preserve"> a/</w:t>
      </w:r>
      <w:proofErr w:type="spellStart"/>
      <w:r w:rsidRPr="0081662A">
        <w:rPr>
          <w:rFonts w:ascii="Tahoma" w:hAnsi="Tahoma" w:cs="Tahoma"/>
        </w:rPr>
        <w:t>a+c</w:t>
      </w:r>
      <w:proofErr w:type="spellEnd"/>
      <w:r w:rsidRPr="0081662A">
        <w:rPr>
          <w:rFonts w:ascii="Tahoma" w:hAnsi="Tahoma" w:cs="Tahoma"/>
        </w:rPr>
        <w:t xml:space="preserve">= 17/(17+28)= 17/45= 0.37= </w:t>
      </w:r>
      <w:r w:rsidRPr="0081662A">
        <w:rPr>
          <w:rFonts w:ascii="Tahoma" w:hAnsi="Tahoma" w:cs="Tahoma"/>
          <w:b/>
          <w:color w:val="FF0000"/>
        </w:rPr>
        <w:t>37%</w:t>
      </w:r>
    </w:p>
    <w:p w:rsidR="00072851" w:rsidRPr="0081662A" w:rsidRDefault="00072851" w:rsidP="00072851">
      <w:pPr>
        <w:rPr>
          <w:rFonts w:ascii="Tahoma" w:hAnsi="Tahoma" w:cs="Tahoma"/>
        </w:rPr>
      </w:pPr>
      <w:r w:rsidRPr="0081662A">
        <w:rPr>
          <w:rFonts w:ascii="Tahoma" w:hAnsi="Tahoma" w:cs="Tahoma"/>
          <w:b/>
        </w:rPr>
        <w:t>Especificidad:</w:t>
      </w:r>
      <w:r w:rsidRPr="0081662A">
        <w:rPr>
          <w:rFonts w:ascii="Tahoma" w:hAnsi="Tahoma" w:cs="Tahoma"/>
        </w:rPr>
        <w:t xml:space="preserve"> d/</w:t>
      </w:r>
      <w:proofErr w:type="spellStart"/>
      <w:r w:rsidRPr="0081662A">
        <w:rPr>
          <w:rFonts w:ascii="Tahoma" w:hAnsi="Tahoma" w:cs="Tahoma"/>
        </w:rPr>
        <w:t>b+d</w:t>
      </w:r>
      <w:proofErr w:type="spellEnd"/>
      <w:r w:rsidRPr="0081662A">
        <w:rPr>
          <w:rFonts w:ascii="Tahoma" w:hAnsi="Tahoma" w:cs="Tahoma"/>
        </w:rPr>
        <w:t xml:space="preserve">= 53/(2+53)= 53/55= 0.96= </w:t>
      </w:r>
      <w:r w:rsidRPr="0081662A">
        <w:rPr>
          <w:rFonts w:ascii="Tahoma" w:hAnsi="Tahoma" w:cs="Tahoma"/>
          <w:b/>
          <w:color w:val="FF0000"/>
        </w:rPr>
        <w:t>96%</w:t>
      </w:r>
    </w:p>
    <w:p w:rsidR="00072851" w:rsidRPr="0081662A" w:rsidRDefault="00072851" w:rsidP="00072851">
      <w:pPr>
        <w:rPr>
          <w:rFonts w:ascii="Tahoma" w:hAnsi="Tahoma" w:cs="Tahoma"/>
        </w:rPr>
      </w:pPr>
      <w:r w:rsidRPr="0081662A">
        <w:rPr>
          <w:rFonts w:ascii="Tahoma" w:hAnsi="Tahoma" w:cs="Tahoma"/>
          <w:b/>
        </w:rPr>
        <w:t>Exactitud:</w:t>
      </w:r>
      <w:r w:rsidRPr="0081662A">
        <w:rPr>
          <w:rFonts w:ascii="Tahoma" w:hAnsi="Tahoma" w:cs="Tahoma"/>
        </w:rPr>
        <w:t xml:space="preserve"> </w:t>
      </w:r>
      <w:proofErr w:type="spellStart"/>
      <w:r w:rsidRPr="0081662A">
        <w:rPr>
          <w:rFonts w:ascii="Tahoma" w:hAnsi="Tahoma" w:cs="Tahoma"/>
        </w:rPr>
        <w:t>a+d</w:t>
      </w:r>
      <w:proofErr w:type="spellEnd"/>
      <w:r w:rsidRPr="0081662A">
        <w:rPr>
          <w:rFonts w:ascii="Tahoma" w:hAnsi="Tahoma" w:cs="Tahoma"/>
        </w:rPr>
        <w:t>/</w:t>
      </w:r>
      <w:proofErr w:type="spellStart"/>
      <w:r w:rsidRPr="0081662A">
        <w:rPr>
          <w:rFonts w:ascii="Tahoma" w:hAnsi="Tahoma" w:cs="Tahoma"/>
        </w:rPr>
        <w:t>a+b+c+d</w:t>
      </w:r>
      <w:proofErr w:type="spellEnd"/>
      <w:r w:rsidRPr="0081662A">
        <w:rPr>
          <w:rFonts w:ascii="Tahoma" w:hAnsi="Tahoma" w:cs="Tahoma"/>
        </w:rPr>
        <w:t xml:space="preserve">= (17+2)/(17+2+28+53)= 19/100= 0.19= </w:t>
      </w:r>
      <w:r w:rsidRPr="0081662A">
        <w:rPr>
          <w:rFonts w:ascii="Tahoma" w:hAnsi="Tahoma" w:cs="Tahoma"/>
          <w:b/>
          <w:color w:val="FF0000"/>
        </w:rPr>
        <w:t>19%</w:t>
      </w:r>
    </w:p>
    <w:p w:rsidR="00072851" w:rsidRPr="0081662A" w:rsidRDefault="00072851" w:rsidP="00072851">
      <w:pPr>
        <w:rPr>
          <w:rFonts w:ascii="Tahoma" w:hAnsi="Tahoma" w:cs="Tahoma"/>
        </w:rPr>
      </w:pPr>
      <w:proofErr w:type="gramStart"/>
      <w:r w:rsidRPr="0081662A">
        <w:rPr>
          <w:rFonts w:ascii="Tahoma" w:hAnsi="Tahoma" w:cs="Tahoma"/>
          <w:b/>
        </w:rPr>
        <w:t>VP(</w:t>
      </w:r>
      <w:proofErr w:type="gramEnd"/>
      <w:r w:rsidRPr="0081662A">
        <w:rPr>
          <w:rFonts w:ascii="Tahoma" w:hAnsi="Tahoma" w:cs="Tahoma"/>
          <w:b/>
        </w:rPr>
        <w:t>+):</w:t>
      </w:r>
      <w:r w:rsidRPr="0081662A">
        <w:rPr>
          <w:rFonts w:ascii="Tahoma" w:hAnsi="Tahoma" w:cs="Tahoma"/>
        </w:rPr>
        <w:t xml:space="preserve"> a/</w:t>
      </w:r>
      <w:proofErr w:type="spellStart"/>
      <w:r w:rsidRPr="0081662A">
        <w:rPr>
          <w:rFonts w:ascii="Tahoma" w:hAnsi="Tahoma" w:cs="Tahoma"/>
        </w:rPr>
        <w:t>a+b</w:t>
      </w:r>
      <w:proofErr w:type="spellEnd"/>
      <w:r w:rsidRPr="0081662A">
        <w:rPr>
          <w:rFonts w:ascii="Tahoma" w:hAnsi="Tahoma" w:cs="Tahoma"/>
        </w:rPr>
        <w:t xml:space="preserve">= 17/(17+2)= 17/19= 0.89= </w:t>
      </w:r>
      <w:r w:rsidRPr="0081662A">
        <w:rPr>
          <w:rFonts w:ascii="Tahoma" w:hAnsi="Tahoma" w:cs="Tahoma"/>
          <w:b/>
          <w:color w:val="FF0000"/>
        </w:rPr>
        <w:t>89%</w:t>
      </w:r>
    </w:p>
    <w:p w:rsidR="00072851" w:rsidRPr="0081662A" w:rsidRDefault="00072851" w:rsidP="00072851">
      <w:pPr>
        <w:rPr>
          <w:rFonts w:ascii="Tahoma" w:hAnsi="Tahoma" w:cs="Tahoma"/>
        </w:rPr>
      </w:pPr>
      <w:proofErr w:type="gramStart"/>
      <w:r w:rsidRPr="0081662A">
        <w:rPr>
          <w:rFonts w:ascii="Tahoma" w:hAnsi="Tahoma" w:cs="Tahoma"/>
          <w:b/>
        </w:rPr>
        <w:t>VP(</w:t>
      </w:r>
      <w:proofErr w:type="gramEnd"/>
      <w:r w:rsidRPr="0081662A">
        <w:rPr>
          <w:rFonts w:ascii="Tahoma" w:hAnsi="Tahoma" w:cs="Tahoma"/>
          <w:b/>
        </w:rPr>
        <w:t>-):</w:t>
      </w:r>
      <w:r w:rsidR="00ED0BD8" w:rsidRPr="0081662A">
        <w:rPr>
          <w:rFonts w:ascii="Tahoma" w:hAnsi="Tahoma" w:cs="Tahoma"/>
        </w:rPr>
        <w:t xml:space="preserve"> d/</w:t>
      </w:r>
      <w:proofErr w:type="spellStart"/>
      <w:r w:rsidR="00ED0BD8" w:rsidRPr="0081662A">
        <w:rPr>
          <w:rFonts w:ascii="Tahoma" w:hAnsi="Tahoma" w:cs="Tahoma"/>
        </w:rPr>
        <w:t>c+d</w:t>
      </w:r>
      <w:proofErr w:type="spellEnd"/>
      <w:r w:rsidRPr="0081662A">
        <w:rPr>
          <w:rFonts w:ascii="Tahoma" w:hAnsi="Tahoma" w:cs="Tahoma"/>
        </w:rPr>
        <w:t xml:space="preserve">= 53/(53+28)= 53/81= 0.65= </w:t>
      </w:r>
      <w:r w:rsidRPr="0081662A">
        <w:rPr>
          <w:rFonts w:ascii="Tahoma" w:hAnsi="Tahoma" w:cs="Tahoma"/>
          <w:b/>
          <w:color w:val="FF0000"/>
        </w:rPr>
        <w:t>65%</w:t>
      </w:r>
    </w:p>
    <w:p w:rsidR="00072851" w:rsidRPr="0081662A" w:rsidRDefault="00072851" w:rsidP="00072851">
      <w:pPr>
        <w:rPr>
          <w:rFonts w:ascii="Tahoma" w:hAnsi="Tahoma" w:cs="Tahoma"/>
          <w:b/>
          <w:color w:val="FF0000"/>
        </w:rPr>
      </w:pPr>
      <w:r w:rsidRPr="0081662A">
        <w:rPr>
          <w:rFonts w:ascii="Tahoma" w:hAnsi="Tahoma" w:cs="Tahoma"/>
          <w:b/>
        </w:rPr>
        <w:t>Prevalencia:</w:t>
      </w:r>
      <w:r w:rsidRPr="0081662A">
        <w:rPr>
          <w:rFonts w:ascii="Tahoma" w:hAnsi="Tahoma" w:cs="Tahoma"/>
        </w:rPr>
        <w:t xml:space="preserve"> </w:t>
      </w:r>
      <w:proofErr w:type="spellStart"/>
      <w:r w:rsidRPr="0081662A">
        <w:rPr>
          <w:rFonts w:ascii="Tahoma" w:hAnsi="Tahoma" w:cs="Tahoma"/>
        </w:rPr>
        <w:t>a+c</w:t>
      </w:r>
      <w:proofErr w:type="spellEnd"/>
      <w:r w:rsidRPr="0081662A">
        <w:rPr>
          <w:rFonts w:ascii="Tahoma" w:hAnsi="Tahoma" w:cs="Tahoma"/>
        </w:rPr>
        <w:t>/</w:t>
      </w:r>
      <w:proofErr w:type="spellStart"/>
      <w:r w:rsidRPr="0081662A">
        <w:rPr>
          <w:rFonts w:ascii="Tahoma" w:hAnsi="Tahoma" w:cs="Tahoma"/>
        </w:rPr>
        <w:t>a+b+c+d</w:t>
      </w:r>
      <w:proofErr w:type="spellEnd"/>
      <w:r w:rsidRPr="0081662A">
        <w:rPr>
          <w:rFonts w:ascii="Tahoma" w:hAnsi="Tahoma" w:cs="Tahoma"/>
        </w:rPr>
        <w:t xml:space="preserve">= (17+28)/100= 45/100= 0.45= </w:t>
      </w:r>
      <w:r w:rsidRPr="0081662A">
        <w:rPr>
          <w:rFonts w:ascii="Tahoma" w:hAnsi="Tahoma" w:cs="Tahoma"/>
          <w:b/>
          <w:color w:val="FF0000"/>
        </w:rPr>
        <w:t>45%</w:t>
      </w:r>
    </w:p>
    <w:p w:rsidR="00072851" w:rsidRPr="0081662A" w:rsidRDefault="00072851" w:rsidP="00072851">
      <w:pPr>
        <w:rPr>
          <w:rFonts w:ascii="Tahoma" w:hAnsi="Tahoma" w:cs="Tahoma"/>
        </w:rPr>
      </w:pPr>
      <w:r w:rsidRPr="0081662A">
        <w:rPr>
          <w:rFonts w:ascii="Tahoma" w:hAnsi="Tahoma" w:cs="Tahoma"/>
          <w:b/>
        </w:rPr>
        <w:t>Razón de verosimilitud:</w:t>
      </w:r>
      <w:r w:rsidRPr="0081662A">
        <w:rPr>
          <w:rFonts w:ascii="Tahoma" w:hAnsi="Tahoma" w:cs="Tahoma"/>
        </w:rPr>
        <w:t xml:space="preserve"> sensibilidad</w:t>
      </w:r>
      <w:proofErr w:type="gramStart"/>
      <w:r w:rsidRPr="0081662A">
        <w:rPr>
          <w:rFonts w:ascii="Tahoma" w:hAnsi="Tahoma" w:cs="Tahoma"/>
        </w:rPr>
        <w:t>/(</w:t>
      </w:r>
      <w:proofErr w:type="gramEnd"/>
      <w:r w:rsidRPr="0081662A">
        <w:rPr>
          <w:rFonts w:ascii="Tahoma" w:hAnsi="Tahoma" w:cs="Tahoma"/>
        </w:rPr>
        <w:t xml:space="preserve">1-especificidad)= 0.37/(1-0.96)= 0.37/0.04= </w:t>
      </w:r>
      <w:r w:rsidRPr="0081662A">
        <w:rPr>
          <w:rFonts w:ascii="Tahoma" w:hAnsi="Tahoma" w:cs="Tahoma"/>
          <w:b/>
          <w:color w:val="FF0000"/>
        </w:rPr>
        <w:t>9.25</w:t>
      </w:r>
    </w:p>
    <w:p w:rsidR="003C21E2" w:rsidRPr="0081662A" w:rsidRDefault="003C21E2">
      <w:pPr>
        <w:rPr>
          <w:rFonts w:ascii="Tahoma" w:hAnsi="Tahoma" w:cs="Tahoma"/>
        </w:rPr>
      </w:pPr>
    </w:p>
    <w:p w:rsidR="003C21E2" w:rsidRPr="0081662A" w:rsidRDefault="003C21E2" w:rsidP="003C21E2">
      <w:pPr>
        <w:rPr>
          <w:rFonts w:ascii="Tahoma" w:hAnsi="Tahoma" w:cs="Tahoma"/>
        </w:rPr>
      </w:pPr>
      <w:r w:rsidRPr="0081662A">
        <w:rPr>
          <w:rFonts w:ascii="Tahoma" w:hAnsi="Tahoma" w:cs="Tahoma"/>
        </w:rPr>
        <w:t>1.- ¿Hubo un estándar de referencia de oro al cual se comparó la prueba en estudio?</w:t>
      </w:r>
    </w:p>
    <w:p w:rsidR="003C21E2" w:rsidRPr="0081662A" w:rsidRDefault="003C21E2" w:rsidP="003C21E2">
      <w:pPr>
        <w:rPr>
          <w:rFonts w:ascii="Tahoma" w:hAnsi="Tahoma" w:cs="Tahoma"/>
        </w:rPr>
      </w:pPr>
      <w:r w:rsidRPr="0081662A">
        <w:rPr>
          <w:rFonts w:ascii="Tahoma" w:hAnsi="Tahoma" w:cs="Tahoma"/>
        </w:rPr>
        <w:tab/>
        <w:t xml:space="preserve">Sí, la prueba </w:t>
      </w:r>
      <w:proofErr w:type="spellStart"/>
      <w:r w:rsidRPr="0081662A">
        <w:rPr>
          <w:rFonts w:ascii="Tahoma" w:hAnsi="Tahoma" w:cs="Tahoma"/>
        </w:rPr>
        <w:t>Adenosi</w:t>
      </w:r>
      <w:r w:rsidR="00285D0C" w:rsidRPr="0081662A">
        <w:rPr>
          <w:rFonts w:ascii="Tahoma" w:hAnsi="Tahoma" w:cs="Tahoma"/>
        </w:rPr>
        <w:t>n</w:t>
      </w:r>
      <w:proofErr w:type="spellEnd"/>
      <w:r w:rsidR="00285D0C" w:rsidRPr="0081662A">
        <w:rPr>
          <w:rFonts w:ascii="Tahoma" w:hAnsi="Tahoma" w:cs="Tahoma"/>
        </w:rPr>
        <w:t xml:space="preserve"> </w:t>
      </w:r>
      <w:proofErr w:type="spellStart"/>
      <w:r w:rsidR="00285D0C" w:rsidRPr="0081662A">
        <w:rPr>
          <w:rFonts w:ascii="Tahoma" w:hAnsi="Tahoma" w:cs="Tahoma"/>
        </w:rPr>
        <w:t>Desaminasa</w:t>
      </w:r>
      <w:proofErr w:type="spellEnd"/>
      <w:r w:rsidR="00285D0C" w:rsidRPr="0081662A">
        <w:rPr>
          <w:rFonts w:ascii="Tahoma" w:hAnsi="Tahoma" w:cs="Tahoma"/>
        </w:rPr>
        <w:t xml:space="preserve"> (ADA) se comparó con el G</w:t>
      </w:r>
      <w:r w:rsidRPr="0081662A">
        <w:rPr>
          <w:rFonts w:ascii="Tahoma" w:hAnsi="Tahoma" w:cs="Tahoma"/>
        </w:rPr>
        <w:t xml:space="preserve">old </w:t>
      </w:r>
      <w:proofErr w:type="spellStart"/>
      <w:r w:rsidRPr="0081662A">
        <w:rPr>
          <w:rFonts w:ascii="Tahoma" w:hAnsi="Tahoma" w:cs="Tahoma"/>
        </w:rPr>
        <w:t>standard</w:t>
      </w:r>
      <w:proofErr w:type="spellEnd"/>
      <w:r w:rsidRPr="0081662A">
        <w:rPr>
          <w:rFonts w:ascii="Tahoma" w:hAnsi="Tahoma" w:cs="Tahoma"/>
        </w:rPr>
        <w:t xml:space="preserve"> para detección de</w:t>
      </w:r>
      <w:r w:rsidR="00285D0C" w:rsidRPr="0081662A">
        <w:rPr>
          <w:rFonts w:ascii="Tahoma" w:hAnsi="Tahoma" w:cs="Tahoma"/>
        </w:rPr>
        <w:t xml:space="preserve"> pleuritis  tuberculosa que es la punción y biopsia para el cultivo </w:t>
      </w:r>
      <w:r w:rsidR="00111AAD" w:rsidRPr="0081662A">
        <w:rPr>
          <w:rFonts w:ascii="Tahoma" w:hAnsi="Tahoma" w:cs="Tahoma"/>
        </w:rPr>
        <w:t>microbiológico</w:t>
      </w:r>
      <w:r w:rsidR="00285D0C" w:rsidRPr="0081662A">
        <w:rPr>
          <w:rFonts w:ascii="Tahoma" w:hAnsi="Tahoma" w:cs="Tahoma"/>
        </w:rPr>
        <w:t xml:space="preserve"> y análisis </w:t>
      </w:r>
      <w:r w:rsidR="00111AAD" w:rsidRPr="0081662A">
        <w:rPr>
          <w:rFonts w:ascii="Tahoma" w:hAnsi="Tahoma" w:cs="Tahoma"/>
        </w:rPr>
        <w:t xml:space="preserve">histológico que aseguran el diagnóstico en un 86%, combinado con cultivo de líquido pleural que proporcionan la confirmación microbiológica del </w:t>
      </w:r>
      <w:proofErr w:type="spellStart"/>
      <w:r w:rsidR="00111AAD" w:rsidRPr="0081662A">
        <w:rPr>
          <w:rFonts w:ascii="Tahoma" w:hAnsi="Tahoma" w:cs="Tahoma"/>
        </w:rPr>
        <w:t>mycobaterium</w:t>
      </w:r>
      <w:proofErr w:type="spellEnd"/>
      <w:r w:rsidR="00111AAD" w:rsidRPr="0081662A">
        <w:rPr>
          <w:rFonts w:ascii="Tahoma" w:hAnsi="Tahoma" w:cs="Tahoma"/>
        </w:rPr>
        <w:t xml:space="preserve"> tuberculosis en el 90%.</w:t>
      </w:r>
    </w:p>
    <w:p w:rsidR="00E72309" w:rsidRPr="0081662A" w:rsidRDefault="003C21E2" w:rsidP="00E72309">
      <w:pPr>
        <w:rPr>
          <w:rFonts w:ascii="Tahoma" w:hAnsi="Tahoma" w:cs="Tahoma"/>
        </w:rPr>
      </w:pPr>
      <w:r w:rsidRPr="0081662A">
        <w:rPr>
          <w:rFonts w:ascii="Tahoma" w:hAnsi="Tahoma" w:cs="Tahoma"/>
        </w:rPr>
        <w:t>2.- ¿Fue la comparación con el estándar de referencia cegada e independiente?</w:t>
      </w:r>
    </w:p>
    <w:p w:rsidR="00E72309" w:rsidRPr="0081662A" w:rsidRDefault="00072851" w:rsidP="00072851">
      <w:pPr>
        <w:ind w:left="708"/>
        <w:rPr>
          <w:rFonts w:ascii="Tahoma" w:hAnsi="Tahoma" w:cs="Tahoma"/>
        </w:rPr>
      </w:pPr>
      <w:r w:rsidRPr="0081662A">
        <w:rPr>
          <w:rFonts w:ascii="Tahoma" w:hAnsi="Tahoma" w:cs="Tahoma"/>
        </w:rPr>
        <w:t>S</w:t>
      </w:r>
      <w:r w:rsidR="00E01BC3" w:rsidRPr="0081662A">
        <w:rPr>
          <w:rFonts w:ascii="Tahoma" w:hAnsi="Tahoma" w:cs="Tahoma"/>
        </w:rPr>
        <w:t>í</w:t>
      </w:r>
    </w:p>
    <w:p w:rsidR="00E72309" w:rsidRPr="0081662A" w:rsidRDefault="00E72309" w:rsidP="00E72309">
      <w:pPr>
        <w:rPr>
          <w:rFonts w:ascii="Tahoma" w:hAnsi="Tahoma" w:cs="Tahoma"/>
        </w:rPr>
      </w:pPr>
      <w:r w:rsidRPr="0081662A">
        <w:rPr>
          <w:rFonts w:ascii="Tahoma" w:hAnsi="Tahoma" w:cs="Tahoma"/>
        </w:rPr>
        <w:t>3.- ¿Se describió adecuadamente la población en estudio, así como el tamizaje por el que los pacientes pasaron, antes de ser incluidos en el estudio?</w:t>
      </w:r>
    </w:p>
    <w:p w:rsidR="00E72309" w:rsidRPr="0081662A" w:rsidRDefault="00E72309" w:rsidP="00E72309">
      <w:pPr>
        <w:pStyle w:val="Default"/>
        <w:rPr>
          <w:rFonts w:ascii="Tahoma" w:hAnsi="Tahoma" w:cs="Tahoma"/>
          <w:sz w:val="22"/>
        </w:rPr>
      </w:pPr>
      <w:r w:rsidRPr="0081662A">
        <w:rPr>
          <w:rFonts w:ascii="Tahoma" w:hAnsi="Tahoma" w:cs="Tahoma"/>
          <w:sz w:val="22"/>
        </w:rPr>
        <w:tab/>
        <w:t>Sí, se revisaron</w:t>
      </w:r>
      <w:r w:rsidR="00072851" w:rsidRPr="0081662A">
        <w:rPr>
          <w:rFonts w:ascii="Tahoma" w:hAnsi="Tahoma" w:cs="Tahoma"/>
          <w:sz w:val="22"/>
        </w:rPr>
        <w:t xml:space="preserve"> los registros de los resultados obtenidos del test ADA de las muestras del líquido pleural  de pacientes con </w:t>
      </w:r>
      <w:r w:rsidRPr="0081662A">
        <w:rPr>
          <w:rFonts w:ascii="Tahoma" w:hAnsi="Tahoma" w:cs="Tahoma"/>
          <w:sz w:val="22"/>
        </w:rPr>
        <w:t>derrame pleural clasificándolos como pleuritis tuberculosa</w:t>
      </w:r>
      <w:r w:rsidR="00072851" w:rsidRPr="0081662A">
        <w:rPr>
          <w:rFonts w:ascii="Tahoma" w:hAnsi="Tahoma" w:cs="Tahoma"/>
          <w:sz w:val="22"/>
        </w:rPr>
        <w:t xml:space="preserve"> a los pacientes que presentaron:</w:t>
      </w:r>
      <w:r w:rsidRPr="0081662A">
        <w:rPr>
          <w:rFonts w:ascii="Tahoma" w:hAnsi="Tahoma" w:cs="Tahoma"/>
          <w:sz w:val="22"/>
        </w:rPr>
        <w:t xml:space="preserve"> Identificación del BK en el líquido o biopsia pleural por tinción, cultivo o por observación de granulomas en el estudio histológico </w:t>
      </w:r>
    </w:p>
    <w:p w:rsidR="00E72309" w:rsidRPr="0081662A" w:rsidRDefault="00E72309" w:rsidP="00E72309">
      <w:pPr>
        <w:pStyle w:val="Default"/>
        <w:rPr>
          <w:rFonts w:ascii="Tahoma" w:hAnsi="Tahoma" w:cs="Tahoma"/>
          <w:color w:val="auto"/>
          <w:sz w:val="22"/>
        </w:rPr>
      </w:pPr>
      <w:r w:rsidRPr="0081662A">
        <w:rPr>
          <w:rFonts w:ascii="Tahoma" w:hAnsi="Tahoma" w:cs="Tahoma"/>
          <w:color w:val="auto"/>
          <w:sz w:val="22"/>
        </w:rPr>
        <w:t xml:space="preserve">Cultivo de Esputo positivo en presencia de evidencia clínica o radiológica de tuberculosis, en ausencia de otra causa obvia  asociada al derrame pleural </w:t>
      </w:r>
    </w:p>
    <w:p w:rsidR="00072851" w:rsidRPr="0081662A" w:rsidRDefault="00E72309" w:rsidP="00E72309">
      <w:pPr>
        <w:rPr>
          <w:rFonts w:ascii="Tahoma" w:hAnsi="Tahoma" w:cs="Tahoma"/>
          <w:szCs w:val="24"/>
        </w:rPr>
      </w:pPr>
      <w:r w:rsidRPr="0081662A">
        <w:rPr>
          <w:rFonts w:ascii="Tahoma" w:hAnsi="Tahoma" w:cs="Tahoma"/>
          <w:szCs w:val="24"/>
        </w:rPr>
        <w:lastRenderedPageBreak/>
        <w:t>Evidencia clínica y radiológica de tuberculosis en ausencia de otra causa obvia asociada al derrame pleural y asociada con una  respuesta positiva a la terapia antituberculosa</w:t>
      </w:r>
      <w:r w:rsidR="00072851" w:rsidRPr="0081662A">
        <w:rPr>
          <w:rFonts w:ascii="Tahoma" w:hAnsi="Tahoma" w:cs="Tahoma"/>
          <w:szCs w:val="24"/>
        </w:rPr>
        <w:t>.</w:t>
      </w:r>
    </w:p>
    <w:p w:rsidR="00E72309" w:rsidRPr="0081662A" w:rsidRDefault="00E72309" w:rsidP="00E72309">
      <w:pPr>
        <w:rPr>
          <w:rFonts w:ascii="Tahoma" w:hAnsi="Tahoma" w:cs="Tahoma"/>
        </w:rPr>
      </w:pPr>
      <w:r w:rsidRPr="0081662A">
        <w:rPr>
          <w:rFonts w:ascii="Tahoma" w:hAnsi="Tahoma" w:cs="Tahoma"/>
        </w:rPr>
        <w:t>4.- ¿Se incluyeron pacientes con diferentes grados de severidad de la enfermedad (espectro adecuado) y no sólo pacientes con enfermedad avanzada o clínicamente evidente?</w:t>
      </w:r>
    </w:p>
    <w:p w:rsidR="00E72309" w:rsidRPr="0081662A" w:rsidRDefault="00E72309" w:rsidP="00E72309">
      <w:pPr>
        <w:rPr>
          <w:rFonts w:ascii="Tahoma" w:hAnsi="Tahoma" w:cs="Tahoma"/>
        </w:rPr>
      </w:pPr>
      <w:r w:rsidRPr="0081662A">
        <w:rPr>
          <w:rFonts w:ascii="Tahoma" w:hAnsi="Tahoma" w:cs="Tahoma"/>
        </w:rPr>
        <w:tab/>
        <w:t>N</w:t>
      </w:r>
      <w:r w:rsidR="00E01BC3" w:rsidRPr="0081662A">
        <w:rPr>
          <w:rFonts w:ascii="Tahoma" w:hAnsi="Tahoma" w:cs="Tahoma"/>
        </w:rPr>
        <w:t xml:space="preserve">o se especifica el estadio clínico de los pacientes, solo con diagnóstico de pleuritis tuberculosa por los  criterios ya mencionados </w:t>
      </w:r>
    </w:p>
    <w:p w:rsidR="00E72309" w:rsidRPr="0081662A" w:rsidRDefault="00E72309" w:rsidP="00E72309">
      <w:pPr>
        <w:rPr>
          <w:rFonts w:ascii="Tahoma" w:hAnsi="Tahoma" w:cs="Tahoma"/>
        </w:rPr>
      </w:pPr>
      <w:r w:rsidRPr="0081662A">
        <w:rPr>
          <w:rFonts w:ascii="Tahoma" w:hAnsi="Tahoma" w:cs="Tahoma"/>
        </w:rPr>
        <w:t xml:space="preserve">5.- ¿Se describió la manera de realizar la prueba diagnóstica con claridad de modo que se pueda reproducir adecuadamente? </w:t>
      </w:r>
    </w:p>
    <w:p w:rsidR="00E72309" w:rsidRPr="0081662A" w:rsidRDefault="00E72309" w:rsidP="00E72309">
      <w:pPr>
        <w:rPr>
          <w:rFonts w:ascii="Tahoma" w:hAnsi="Tahoma" w:cs="Tahoma"/>
        </w:rPr>
      </w:pPr>
      <w:r w:rsidRPr="0081662A">
        <w:rPr>
          <w:rFonts w:ascii="Tahoma" w:hAnsi="Tahoma" w:cs="Tahoma"/>
        </w:rPr>
        <w:tab/>
        <w:t>No</w:t>
      </w:r>
      <w:r w:rsidR="00E01BC3" w:rsidRPr="0081662A">
        <w:rPr>
          <w:rFonts w:ascii="Tahoma" w:hAnsi="Tahoma" w:cs="Tahoma"/>
        </w:rPr>
        <w:t>, sólo se menciona que es una prueba colorimétrica muy sencilla y poco costosa.</w:t>
      </w:r>
    </w:p>
    <w:p w:rsidR="00E72309" w:rsidRPr="0081662A" w:rsidRDefault="00E72309" w:rsidP="00E72309">
      <w:pPr>
        <w:rPr>
          <w:rFonts w:ascii="Tahoma" w:hAnsi="Tahoma" w:cs="Tahoma"/>
        </w:rPr>
      </w:pPr>
      <w:r w:rsidRPr="0081662A">
        <w:rPr>
          <w:rFonts w:ascii="Tahoma" w:hAnsi="Tahoma" w:cs="Tahoma"/>
        </w:rPr>
        <w:t>6.- ¿Se expresaron con claridad los valores de sensibilidad, especificidad y valores predictivos?</w:t>
      </w:r>
    </w:p>
    <w:p w:rsidR="00E72309" w:rsidRPr="0081662A" w:rsidRDefault="00E72309" w:rsidP="00E72309">
      <w:pPr>
        <w:rPr>
          <w:rFonts w:ascii="Tahoma" w:hAnsi="Tahoma" w:cs="Tahoma"/>
        </w:rPr>
      </w:pPr>
      <w:r w:rsidRPr="0081662A">
        <w:rPr>
          <w:rFonts w:ascii="Tahoma" w:hAnsi="Tahoma" w:cs="Tahoma"/>
        </w:rPr>
        <w:tab/>
        <w:t>No</w:t>
      </w:r>
    </w:p>
    <w:p w:rsidR="00E72309" w:rsidRPr="0081662A" w:rsidRDefault="00E72309" w:rsidP="00E72309">
      <w:pPr>
        <w:rPr>
          <w:rFonts w:ascii="Tahoma" w:hAnsi="Tahoma" w:cs="Tahoma"/>
        </w:rPr>
      </w:pPr>
      <w:r w:rsidRPr="0081662A">
        <w:rPr>
          <w:rFonts w:ascii="Tahoma" w:hAnsi="Tahoma" w:cs="Tahoma"/>
        </w:rPr>
        <w:t>7.- ¿Se definió la manera en la que se delimitó el nivel de “normalidad”?</w:t>
      </w:r>
    </w:p>
    <w:p w:rsidR="00E72309" w:rsidRPr="0081662A" w:rsidRDefault="00E72309" w:rsidP="00E72309">
      <w:pPr>
        <w:rPr>
          <w:rFonts w:ascii="Tahoma" w:hAnsi="Tahoma" w:cs="Tahoma"/>
        </w:rPr>
      </w:pPr>
      <w:r w:rsidRPr="0081662A">
        <w:rPr>
          <w:rFonts w:ascii="Tahoma" w:hAnsi="Tahoma" w:cs="Tahoma"/>
        </w:rPr>
        <w:tab/>
        <w:t>No</w:t>
      </w:r>
    </w:p>
    <w:p w:rsidR="00E72309" w:rsidRPr="0081662A" w:rsidRDefault="00E72309" w:rsidP="00E72309">
      <w:pPr>
        <w:rPr>
          <w:rFonts w:ascii="Tahoma" w:hAnsi="Tahoma" w:cs="Tahoma"/>
        </w:rPr>
      </w:pPr>
      <w:r w:rsidRPr="0081662A">
        <w:rPr>
          <w:rFonts w:ascii="Tahoma" w:hAnsi="Tahoma" w:cs="Tahoma"/>
        </w:rPr>
        <w:t>8.- ¿Se propone la prueba diagnóstica como una prueba adicional o como una prueba sustituta de la utilizada más comúnmente en la práctica clínica?</w:t>
      </w:r>
    </w:p>
    <w:p w:rsidR="00E72309" w:rsidRPr="0081662A" w:rsidRDefault="00E01BC3" w:rsidP="00E72309">
      <w:pPr>
        <w:rPr>
          <w:rFonts w:ascii="Tahoma" w:hAnsi="Tahoma" w:cs="Tahoma"/>
        </w:rPr>
      </w:pPr>
      <w:r w:rsidRPr="0081662A">
        <w:rPr>
          <w:rFonts w:ascii="Tahoma" w:hAnsi="Tahoma" w:cs="Tahoma"/>
        </w:rPr>
        <w:tab/>
        <w:t>Se propone como una prueba sustituta</w:t>
      </w:r>
      <w:r w:rsidR="0081662A" w:rsidRPr="0081662A">
        <w:rPr>
          <w:rFonts w:ascii="Tahoma" w:hAnsi="Tahoma" w:cs="Tahoma"/>
        </w:rPr>
        <w:t>, mas sin embargo alcanza una muy baja sensibilidad.</w:t>
      </w:r>
    </w:p>
    <w:p w:rsidR="00E72309" w:rsidRPr="0081662A" w:rsidRDefault="00E72309" w:rsidP="00E72309">
      <w:pPr>
        <w:rPr>
          <w:rFonts w:ascii="Tahoma" w:hAnsi="Tahoma" w:cs="Tahoma"/>
        </w:rPr>
      </w:pPr>
      <w:r w:rsidRPr="0081662A">
        <w:rPr>
          <w:rFonts w:ascii="Tahoma" w:hAnsi="Tahoma" w:cs="Tahoma"/>
        </w:rPr>
        <w:t>9.- ¿Se informa de las complicaciones o de los efectos adversos potenciales de la prueba?</w:t>
      </w:r>
    </w:p>
    <w:p w:rsidR="00E72309" w:rsidRPr="0081662A" w:rsidRDefault="0081662A" w:rsidP="00E72309">
      <w:pPr>
        <w:rPr>
          <w:rFonts w:ascii="Tahoma" w:hAnsi="Tahoma" w:cs="Tahoma"/>
        </w:rPr>
      </w:pPr>
      <w:r w:rsidRPr="0081662A">
        <w:rPr>
          <w:rFonts w:ascii="Tahoma" w:hAnsi="Tahoma" w:cs="Tahoma"/>
        </w:rPr>
        <w:tab/>
        <w:t>No, se desconocen los riesgos y/o complicaciones que conlleve esta prueba</w:t>
      </w:r>
    </w:p>
    <w:p w:rsidR="00E72309" w:rsidRPr="0081662A" w:rsidRDefault="00E72309" w:rsidP="00E72309">
      <w:pPr>
        <w:rPr>
          <w:rFonts w:ascii="Tahoma" w:hAnsi="Tahoma" w:cs="Tahoma"/>
        </w:rPr>
      </w:pPr>
      <w:r w:rsidRPr="0081662A">
        <w:rPr>
          <w:rFonts w:ascii="Tahoma" w:hAnsi="Tahoma" w:cs="Tahoma"/>
        </w:rPr>
        <w:t>10.- ¿Se proporcionó información relacionado al costo monetario de la prueba?</w:t>
      </w:r>
    </w:p>
    <w:p w:rsidR="00E72309" w:rsidRPr="00E01BC3" w:rsidRDefault="00E01BC3" w:rsidP="00E01BC3">
      <w:pPr>
        <w:sectPr w:rsidR="00E72309" w:rsidRPr="00E01BC3" w:rsidSect="0081662A">
          <w:pgSz w:w="12240" w:h="16340"/>
          <w:pgMar w:top="1400" w:right="1639" w:bottom="918" w:left="900" w:header="720" w:footer="720" w:gutter="0"/>
          <w:pgNumType w:start="0"/>
          <w:cols w:space="720"/>
          <w:noEndnote/>
          <w:titlePg/>
          <w:docGrid w:linePitch="299"/>
        </w:sectPr>
      </w:pPr>
      <w:r w:rsidRPr="0081662A">
        <w:rPr>
          <w:rFonts w:ascii="Tahoma" w:hAnsi="Tahoma" w:cs="Tahoma"/>
        </w:rPr>
        <w:tab/>
        <w:t>Si se menciona que es una prueba po</w:t>
      </w:r>
      <w:r w:rsidR="00861289">
        <w:rPr>
          <w:rFonts w:ascii="Tahoma" w:hAnsi="Tahoma" w:cs="Tahoma"/>
        </w:rPr>
        <w:t>co costos</w:t>
      </w:r>
    </w:p>
    <w:p w:rsidR="0040474C" w:rsidRPr="00E72309" w:rsidRDefault="0040474C" w:rsidP="00E72309">
      <w:pPr>
        <w:pStyle w:val="Default"/>
        <w:ind w:right="-4513"/>
        <w:rPr>
          <w:color w:val="auto"/>
          <w:sz w:val="22"/>
          <w:szCs w:val="22"/>
        </w:rPr>
        <w:sectPr w:rsidR="0040474C" w:rsidRPr="00E72309">
          <w:type w:val="continuous"/>
          <w:pgSz w:w="12240" w:h="16340"/>
          <w:pgMar w:top="1400" w:right="1639" w:bottom="918" w:left="900" w:header="720" w:footer="720" w:gutter="0"/>
          <w:cols w:num="6" w:space="720" w:equalWidth="0">
            <w:col w:w="1583" w:space="331"/>
            <w:col w:w="263" w:space="331"/>
            <w:col w:w="1319" w:space="331"/>
            <w:col w:w="263" w:space="331"/>
            <w:col w:w="263" w:space="331"/>
            <w:col w:w="923"/>
          </w:cols>
          <w:noEndnote/>
        </w:sectPr>
      </w:pPr>
    </w:p>
    <w:p w:rsidR="00861289" w:rsidRDefault="00861289" w:rsidP="00861289"/>
    <w:sectPr w:rsidR="008612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9E" w:rsidRDefault="00796C9E" w:rsidP="00ED0BD8">
      <w:pPr>
        <w:spacing w:after="0" w:line="240" w:lineRule="auto"/>
      </w:pPr>
      <w:r>
        <w:separator/>
      </w:r>
    </w:p>
  </w:endnote>
  <w:endnote w:type="continuationSeparator" w:id="0">
    <w:p w:rsidR="00796C9E" w:rsidRDefault="00796C9E" w:rsidP="00ED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9E" w:rsidRDefault="00796C9E" w:rsidP="00ED0BD8">
      <w:pPr>
        <w:spacing w:after="0" w:line="240" w:lineRule="auto"/>
      </w:pPr>
      <w:r>
        <w:separator/>
      </w:r>
    </w:p>
  </w:footnote>
  <w:footnote w:type="continuationSeparator" w:id="0">
    <w:p w:rsidR="00796C9E" w:rsidRDefault="00796C9E" w:rsidP="00ED0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E2"/>
    <w:rsid w:val="00072851"/>
    <w:rsid w:val="00111AAD"/>
    <w:rsid w:val="00234C1C"/>
    <w:rsid w:val="00285D0C"/>
    <w:rsid w:val="003C21E2"/>
    <w:rsid w:val="0040474C"/>
    <w:rsid w:val="00796C9E"/>
    <w:rsid w:val="007A048D"/>
    <w:rsid w:val="0081662A"/>
    <w:rsid w:val="00861289"/>
    <w:rsid w:val="00E01BC3"/>
    <w:rsid w:val="00E72309"/>
    <w:rsid w:val="00ED0BD8"/>
    <w:rsid w:val="00F16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3C21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3C2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1">
    <w:name w:val="Light List Accent 1"/>
    <w:basedOn w:val="Tablanormal"/>
    <w:uiPriority w:val="61"/>
    <w:rsid w:val="003C21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4">
    <w:name w:val="Light List Accent 4"/>
    <w:basedOn w:val="Tablanormal"/>
    <w:uiPriority w:val="61"/>
    <w:rsid w:val="003C21E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3C21E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1">
    <w:name w:val="Medium Shading 1 Accent 1"/>
    <w:basedOn w:val="Tablanormal"/>
    <w:uiPriority w:val="63"/>
    <w:rsid w:val="003C21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1-nfasis1">
    <w:name w:val="Medium Grid 1 Accent 1"/>
    <w:basedOn w:val="Tablanormal"/>
    <w:uiPriority w:val="67"/>
    <w:rsid w:val="003C21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4">
    <w:name w:val="Medium Grid 1 Accent 4"/>
    <w:basedOn w:val="Tablanormal"/>
    <w:uiPriority w:val="67"/>
    <w:rsid w:val="003C21E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3-nfasis1">
    <w:name w:val="Medium Grid 3 Accent 1"/>
    <w:basedOn w:val="Tablanormal"/>
    <w:uiPriority w:val="69"/>
    <w:rsid w:val="003C2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4">
    <w:name w:val="Medium Grid 3 Accent 4"/>
    <w:basedOn w:val="Tablanormal"/>
    <w:uiPriority w:val="69"/>
    <w:rsid w:val="003C2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rsid w:val="003C2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3C21E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40474C"/>
    <w:pPr>
      <w:autoSpaceDE w:val="0"/>
      <w:autoSpaceDN w:val="0"/>
      <w:adjustRightInd w:val="0"/>
      <w:spacing w:after="0" w:line="240" w:lineRule="auto"/>
    </w:pPr>
    <w:rPr>
      <w:rFonts w:ascii="Courier New" w:hAnsi="Courier New" w:cs="Courier New"/>
      <w:color w:val="000000"/>
      <w:sz w:val="24"/>
      <w:szCs w:val="24"/>
    </w:rPr>
  </w:style>
  <w:style w:type="paragraph" w:styleId="Sinespaciado">
    <w:name w:val="No Spacing"/>
    <w:link w:val="SinespaciadoCar"/>
    <w:uiPriority w:val="1"/>
    <w:qFormat/>
    <w:rsid w:val="00072851"/>
    <w:pPr>
      <w:spacing w:after="0" w:line="240" w:lineRule="auto"/>
    </w:pPr>
  </w:style>
  <w:style w:type="paragraph" w:styleId="Encabezado">
    <w:name w:val="header"/>
    <w:basedOn w:val="Normal"/>
    <w:link w:val="EncabezadoCar"/>
    <w:uiPriority w:val="99"/>
    <w:unhideWhenUsed/>
    <w:rsid w:val="00ED0B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0BD8"/>
  </w:style>
  <w:style w:type="paragraph" w:styleId="Piedepgina">
    <w:name w:val="footer"/>
    <w:basedOn w:val="Normal"/>
    <w:link w:val="PiedepginaCar"/>
    <w:uiPriority w:val="99"/>
    <w:unhideWhenUsed/>
    <w:rsid w:val="00ED0B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0BD8"/>
  </w:style>
  <w:style w:type="character" w:customStyle="1" w:styleId="SinespaciadoCar">
    <w:name w:val="Sin espaciado Car"/>
    <w:basedOn w:val="Fuentedeprrafopredeter"/>
    <w:link w:val="Sinespaciado"/>
    <w:uiPriority w:val="1"/>
    <w:rsid w:val="0081662A"/>
  </w:style>
  <w:style w:type="paragraph" w:styleId="Textodeglobo">
    <w:name w:val="Balloon Text"/>
    <w:basedOn w:val="Normal"/>
    <w:link w:val="TextodegloboCar"/>
    <w:uiPriority w:val="99"/>
    <w:semiHidden/>
    <w:unhideWhenUsed/>
    <w:rsid w:val="00816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3C21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3C2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1">
    <w:name w:val="Light List Accent 1"/>
    <w:basedOn w:val="Tablanormal"/>
    <w:uiPriority w:val="61"/>
    <w:rsid w:val="003C21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4">
    <w:name w:val="Light List Accent 4"/>
    <w:basedOn w:val="Tablanormal"/>
    <w:uiPriority w:val="61"/>
    <w:rsid w:val="003C21E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3C21E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1">
    <w:name w:val="Medium Shading 1 Accent 1"/>
    <w:basedOn w:val="Tablanormal"/>
    <w:uiPriority w:val="63"/>
    <w:rsid w:val="003C21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1-nfasis1">
    <w:name w:val="Medium Grid 1 Accent 1"/>
    <w:basedOn w:val="Tablanormal"/>
    <w:uiPriority w:val="67"/>
    <w:rsid w:val="003C21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4">
    <w:name w:val="Medium Grid 1 Accent 4"/>
    <w:basedOn w:val="Tablanormal"/>
    <w:uiPriority w:val="67"/>
    <w:rsid w:val="003C21E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3-nfasis1">
    <w:name w:val="Medium Grid 3 Accent 1"/>
    <w:basedOn w:val="Tablanormal"/>
    <w:uiPriority w:val="69"/>
    <w:rsid w:val="003C2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4">
    <w:name w:val="Medium Grid 3 Accent 4"/>
    <w:basedOn w:val="Tablanormal"/>
    <w:uiPriority w:val="69"/>
    <w:rsid w:val="003C2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rsid w:val="003C2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3C21E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40474C"/>
    <w:pPr>
      <w:autoSpaceDE w:val="0"/>
      <w:autoSpaceDN w:val="0"/>
      <w:adjustRightInd w:val="0"/>
      <w:spacing w:after="0" w:line="240" w:lineRule="auto"/>
    </w:pPr>
    <w:rPr>
      <w:rFonts w:ascii="Courier New" w:hAnsi="Courier New" w:cs="Courier New"/>
      <w:color w:val="000000"/>
      <w:sz w:val="24"/>
      <w:szCs w:val="24"/>
    </w:rPr>
  </w:style>
  <w:style w:type="paragraph" w:styleId="Sinespaciado">
    <w:name w:val="No Spacing"/>
    <w:link w:val="SinespaciadoCar"/>
    <w:uiPriority w:val="1"/>
    <w:qFormat/>
    <w:rsid w:val="00072851"/>
    <w:pPr>
      <w:spacing w:after="0" w:line="240" w:lineRule="auto"/>
    </w:pPr>
  </w:style>
  <w:style w:type="paragraph" w:styleId="Encabezado">
    <w:name w:val="header"/>
    <w:basedOn w:val="Normal"/>
    <w:link w:val="EncabezadoCar"/>
    <w:uiPriority w:val="99"/>
    <w:unhideWhenUsed/>
    <w:rsid w:val="00ED0B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0BD8"/>
  </w:style>
  <w:style w:type="paragraph" w:styleId="Piedepgina">
    <w:name w:val="footer"/>
    <w:basedOn w:val="Normal"/>
    <w:link w:val="PiedepginaCar"/>
    <w:uiPriority w:val="99"/>
    <w:unhideWhenUsed/>
    <w:rsid w:val="00ED0B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0BD8"/>
  </w:style>
  <w:style w:type="character" w:customStyle="1" w:styleId="SinespaciadoCar">
    <w:name w:val="Sin espaciado Car"/>
    <w:basedOn w:val="Fuentedeprrafopredeter"/>
    <w:link w:val="Sinespaciado"/>
    <w:uiPriority w:val="1"/>
    <w:rsid w:val="0081662A"/>
  </w:style>
  <w:style w:type="paragraph" w:styleId="Textodeglobo">
    <w:name w:val="Balloon Text"/>
    <w:basedOn w:val="Normal"/>
    <w:link w:val="TextodegloboCar"/>
    <w:uiPriority w:val="99"/>
    <w:semiHidden/>
    <w:unhideWhenUsed/>
    <w:rsid w:val="00816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37A258FAF342E3A2CCD4C00E11E0CC"/>
        <w:category>
          <w:name w:val="General"/>
          <w:gallery w:val="placeholder"/>
        </w:category>
        <w:types>
          <w:type w:val="bbPlcHdr"/>
        </w:types>
        <w:behaviors>
          <w:behavior w:val="content"/>
        </w:behaviors>
        <w:guid w:val="{0B0339CC-E8E2-4B65-98EA-4281332C803A}"/>
      </w:docPartPr>
      <w:docPartBody>
        <w:p w:rsidR="00000000" w:rsidRDefault="00875D5E" w:rsidP="00875D5E">
          <w:pPr>
            <w:pStyle w:val="D137A258FAF342E3A2CCD4C00E11E0CC"/>
          </w:pPr>
          <w:r>
            <w:rPr>
              <w:rFonts w:asciiTheme="majorHAnsi" w:eastAsiaTheme="majorEastAsia" w:hAnsiTheme="majorHAnsi" w:cstheme="majorBidi"/>
              <w:b/>
              <w:bCs/>
              <w:color w:val="FFFFFF" w:themeColor="background1"/>
              <w:sz w:val="72"/>
              <w:szCs w:val="72"/>
            </w:rPr>
            <w:t>[Año]</w:t>
          </w:r>
        </w:p>
      </w:docPartBody>
    </w:docPart>
    <w:docPart>
      <w:docPartPr>
        <w:name w:val="54952F1DEB1E4156A1D1F98BE4088640"/>
        <w:category>
          <w:name w:val="General"/>
          <w:gallery w:val="placeholder"/>
        </w:category>
        <w:types>
          <w:type w:val="bbPlcHdr"/>
        </w:types>
        <w:behaviors>
          <w:behavior w:val="content"/>
        </w:behaviors>
        <w:guid w:val="{2F9C9238-5338-4314-B5C1-9345555D6A5C}"/>
      </w:docPartPr>
      <w:docPartBody>
        <w:p w:rsidR="00000000" w:rsidRDefault="00875D5E" w:rsidP="00875D5E">
          <w:pPr>
            <w:pStyle w:val="54952F1DEB1E4156A1D1F98BE4088640"/>
          </w:pPr>
          <w:r>
            <w:rPr>
              <w:color w:val="76923C" w:themeColor="accent3" w:themeShade="BF"/>
            </w:rPr>
            <w:t>[Escriba el nombre de la compañía]</w:t>
          </w:r>
        </w:p>
      </w:docPartBody>
    </w:docPart>
    <w:docPart>
      <w:docPartPr>
        <w:name w:val="7EE6AE19E2704B7F9DD0E711AFA1E571"/>
        <w:category>
          <w:name w:val="General"/>
          <w:gallery w:val="placeholder"/>
        </w:category>
        <w:types>
          <w:type w:val="bbPlcHdr"/>
        </w:types>
        <w:behaviors>
          <w:behavior w:val="content"/>
        </w:behaviors>
        <w:guid w:val="{00852AE4-6807-41EE-A4ED-19EECE761805}"/>
      </w:docPartPr>
      <w:docPartBody>
        <w:p w:rsidR="00000000" w:rsidRDefault="00875D5E" w:rsidP="00875D5E">
          <w:pPr>
            <w:pStyle w:val="7EE6AE19E2704B7F9DD0E711AFA1E571"/>
          </w:pPr>
          <w:r>
            <w:rPr>
              <w:color w:val="7F7F7F" w:themeColor="background1" w:themeShade="7F"/>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E"/>
    <w:rsid w:val="002916CE"/>
    <w:rsid w:val="00875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37A258FAF342E3A2CCD4C00E11E0CC">
    <w:name w:val="D137A258FAF342E3A2CCD4C00E11E0CC"/>
    <w:rsid w:val="00875D5E"/>
  </w:style>
  <w:style w:type="paragraph" w:customStyle="1" w:styleId="54952F1DEB1E4156A1D1F98BE4088640">
    <w:name w:val="54952F1DEB1E4156A1D1F98BE4088640"/>
    <w:rsid w:val="00875D5E"/>
  </w:style>
  <w:style w:type="paragraph" w:customStyle="1" w:styleId="B5FBE10EDDB148B48E84B360BF3EC99F">
    <w:name w:val="B5FBE10EDDB148B48E84B360BF3EC99F"/>
    <w:rsid w:val="00875D5E"/>
  </w:style>
  <w:style w:type="paragraph" w:customStyle="1" w:styleId="83579490B6B74D1E8851FD75615BD61B">
    <w:name w:val="83579490B6B74D1E8851FD75615BD61B"/>
    <w:rsid w:val="00875D5E"/>
  </w:style>
  <w:style w:type="paragraph" w:customStyle="1" w:styleId="BD6E1000BAD94B02805BBB18A0AC8F9F">
    <w:name w:val="BD6E1000BAD94B02805BBB18A0AC8F9F"/>
    <w:rsid w:val="00875D5E"/>
  </w:style>
  <w:style w:type="paragraph" w:customStyle="1" w:styleId="7EE6AE19E2704B7F9DD0E711AFA1E571">
    <w:name w:val="7EE6AE19E2704B7F9DD0E711AFA1E571"/>
    <w:rsid w:val="00875D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37A258FAF342E3A2CCD4C00E11E0CC">
    <w:name w:val="D137A258FAF342E3A2CCD4C00E11E0CC"/>
    <w:rsid w:val="00875D5E"/>
  </w:style>
  <w:style w:type="paragraph" w:customStyle="1" w:styleId="54952F1DEB1E4156A1D1F98BE4088640">
    <w:name w:val="54952F1DEB1E4156A1D1F98BE4088640"/>
    <w:rsid w:val="00875D5E"/>
  </w:style>
  <w:style w:type="paragraph" w:customStyle="1" w:styleId="B5FBE10EDDB148B48E84B360BF3EC99F">
    <w:name w:val="B5FBE10EDDB148B48E84B360BF3EC99F"/>
    <w:rsid w:val="00875D5E"/>
  </w:style>
  <w:style w:type="paragraph" w:customStyle="1" w:styleId="83579490B6B74D1E8851FD75615BD61B">
    <w:name w:val="83579490B6B74D1E8851FD75615BD61B"/>
    <w:rsid w:val="00875D5E"/>
  </w:style>
  <w:style w:type="paragraph" w:customStyle="1" w:styleId="BD6E1000BAD94B02805BBB18A0AC8F9F">
    <w:name w:val="BD6E1000BAD94B02805BBB18A0AC8F9F"/>
    <w:rsid w:val="00875D5E"/>
  </w:style>
  <w:style w:type="paragraph" w:customStyle="1" w:styleId="7EE6AE19E2704B7F9DD0E711AFA1E571">
    <w:name w:val="7EE6AE19E2704B7F9DD0E711AFA1E571"/>
    <w:rsid w:val="00875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2012-09-19T00:00:00</PublishDate>
  <Abstract>Medicina Basada en Evidencias.     Rodríguez Gómez Jaqueline.       Hospital Regional ISSSTE Dr. Valentín Gómez Farías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2012-10-19T22:49:00Z</dcterms:created>
  <dcterms:modified xsi:type="dcterms:W3CDTF">2012-10-19T22:49:00Z</dcterms:modified>
</cp:coreProperties>
</file>