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22" w:rsidRDefault="00314822" w:rsidP="00314822">
      <w:pPr>
        <w:pStyle w:val="NormalWeb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-528320</wp:posOffset>
            </wp:positionV>
            <wp:extent cx="2581275" cy="1428750"/>
            <wp:effectExtent l="38100" t="0" r="28575" b="419100"/>
            <wp:wrapSquare wrapText="bothSides"/>
            <wp:docPr id="2" name="Imagen 1" descr="http://profile.ak.fbcdn.net/hprofile-ak-snc4/50495_53792086472_8205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50495_53792086472_820514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77" r="-4016" b="2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14822" w:rsidRDefault="00314822" w:rsidP="00314822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314822" w:rsidRDefault="00314822" w:rsidP="00314822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314822" w:rsidRPr="008C0731" w:rsidRDefault="00314822" w:rsidP="00314822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  <w:r w:rsidRPr="008C0731">
        <w:rPr>
          <w:rStyle w:val="apple-style-span"/>
          <w:rFonts w:ascii="Kristen ITC" w:hAnsi="Kristen ITC" w:cs="Arial"/>
          <w:color w:val="333333"/>
          <w:sz w:val="56"/>
          <w:szCs w:val="56"/>
        </w:rPr>
        <w:t>Universidad Guadalajara Lamar</w:t>
      </w:r>
    </w:p>
    <w:p w:rsidR="00314822" w:rsidRPr="00AD5A23" w:rsidRDefault="00314822" w:rsidP="00314822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</w:p>
    <w:p w:rsidR="00314822" w:rsidRPr="00AD5A23" w:rsidRDefault="00314822" w:rsidP="00314822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Marissol Barreras Soto</w:t>
      </w:r>
    </w:p>
    <w:p w:rsidR="00314822" w:rsidRDefault="00314822" w:rsidP="00314822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LME-2496   Medicina  8vo</w:t>
      </w:r>
    </w:p>
    <w:p w:rsidR="00314822" w:rsidRPr="00AD5A23" w:rsidRDefault="00314822" w:rsidP="00314822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>
        <w:rPr>
          <w:rStyle w:val="apple-style-span"/>
          <w:rFonts w:ascii="Kristen ITC" w:hAnsi="Kristen ITC" w:cs="Arial"/>
          <w:color w:val="333333"/>
          <w:sz w:val="40"/>
          <w:szCs w:val="56"/>
        </w:rPr>
        <w:t>Hospital Civil Juan I. Menchaca</w:t>
      </w:r>
    </w:p>
    <w:p w:rsidR="00314822" w:rsidRDefault="00314822" w:rsidP="00314822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</w:p>
    <w:p w:rsidR="00314822" w:rsidRPr="00AD5A23" w:rsidRDefault="00314822" w:rsidP="00314822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52"/>
          <w:szCs w:val="56"/>
        </w:rPr>
        <w:t xml:space="preserve">Medicina Basada en Evidencias </w:t>
      </w:r>
    </w:p>
    <w:p w:rsidR="00314822" w:rsidRPr="00AD5A23" w:rsidRDefault="00314822" w:rsidP="00314822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Dra. Sandra </w:t>
      </w:r>
      <w:proofErr w:type="spellStart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Santíes</w:t>
      </w:r>
      <w:proofErr w:type="spellEnd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 Gómez</w:t>
      </w:r>
    </w:p>
    <w:p w:rsidR="00314822" w:rsidRDefault="00314822" w:rsidP="00314822">
      <w:pPr>
        <w:jc w:val="center"/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</w:pPr>
      <w:r w:rsidRPr="009A7A6A">
        <w:rPr>
          <w:rStyle w:val="apple-style-span"/>
          <w:rFonts w:ascii="Kristen ITC" w:hAnsi="Kristen ITC" w:cs="Arial"/>
          <w:color w:val="333333"/>
          <w:sz w:val="36"/>
          <w:szCs w:val="56"/>
        </w:rPr>
        <w:t xml:space="preserve">Tema: </w:t>
      </w:r>
      <w:r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>I</w:t>
      </w:r>
      <w:r w:rsidRPr="00BB7688"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>nterpretar estudios de pruebas diagnosticas, estudios de asociación riesgo: cohorte y casos y controles.</w:t>
      </w:r>
    </w:p>
    <w:p w:rsidR="00314822" w:rsidRDefault="00314822" w:rsidP="00314822">
      <w:pPr>
        <w:jc w:val="center"/>
        <w:rPr>
          <w:rFonts w:ascii="Arial" w:hAnsi="Arial" w:cs="Arial"/>
          <w:color w:val="000000" w:themeColor="text1"/>
        </w:rPr>
      </w:pPr>
      <w:r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 xml:space="preserve"> Actividad Integradora</w:t>
      </w:r>
    </w:p>
    <w:tbl>
      <w:tblPr>
        <w:tblStyle w:val="Cuadrculaclara-nfasis4"/>
        <w:tblpPr w:leftFromText="141" w:rightFromText="141" w:vertAnchor="page" w:horzAnchor="margin" w:tblpY="1882"/>
        <w:tblW w:w="9322" w:type="dxa"/>
        <w:tblLayout w:type="fixed"/>
        <w:tblLook w:val="04A0"/>
      </w:tblPr>
      <w:tblGrid>
        <w:gridCol w:w="1999"/>
        <w:gridCol w:w="7323"/>
      </w:tblGrid>
      <w:tr w:rsidR="00314822" w:rsidTr="00314822">
        <w:trPr>
          <w:cnfStyle w:val="100000000000"/>
        </w:trPr>
        <w:tc>
          <w:tcPr>
            <w:cnfStyle w:val="001000000000"/>
            <w:tcW w:w="1999" w:type="dxa"/>
          </w:tcPr>
          <w:p w:rsidR="00314822" w:rsidRPr="00F03360" w:rsidRDefault="00314822" w:rsidP="00314822">
            <w:pPr>
              <w:rPr>
                <w:rFonts w:ascii="Broadway" w:hAnsi="Broadway"/>
              </w:rPr>
            </w:pPr>
          </w:p>
        </w:tc>
        <w:tc>
          <w:tcPr>
            <w:tcW w:w="7323" w:type="dxa"/>
          </w:tcPr>
          <w:p w:rsidR="00314822" w:rsidRPr="00F03360" w:rsidRDefault="00314822" w:rsidP="00314822">
            <w:pPr>
              <w:cnfStyle w:val="100000000000"/>
              <w:rPr>
                <w:rFonts w:ascii="Broadway" w:hAnsi="Broadway"/>
              </w:rPr>
            </w:pPr>
            <w:r w:rsidRPr="00F03360">
              <w:rPr>
                <w:rFonts w:ascii="Broadway" w:hAnsi="Broadway"/>
              </w:rPr>
              <w:t>Pruebas diagnósticas</w:t>
            </w:r>
          </w:p>
        </w:tc>
      </w:tr>
      <w:tr w:rsidR="00314822" w:rsidTr="00314822">
        <w:trPr>
          <w:cnfStyle w:val="000000100000"/>
        </w:trPr>
        <w:tc>
          <w:tcPr>
            <w:cnfStyle w:val="001000000000"/>
            <w:tcW w:w="1999" w:type="dxa"/>
          </w:tcPr>
          <w:p w:rsidR="00314822" w:rsidRPr="00F03360" w:rsidRDefault="00314822" w:rsidP="00314822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Definición</w:t>
            </w:r>
          </w:p>
        </w:tc>
        <w:tc>
          <w:tcPr>
            <w:tcW w:w="7323" w:type="dxa"/>
          </w:tcPr>
          <w:p w:rsidR="00314822" w:rsidRPr="003A618C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 w:rsidRPr="003A618C">
              <w:rPr>
                <w:rFonts w:ascii="Tahoma" w:hAnsi="Tahoma" w:cs="Tahoma"/>
                <w:sz w:val="16"/>
              </w:rPr>
              <w:t>Integración de la sintomatología del paciente en una entidad fisiopatológica  conocida.</w:t>
            </w:r>
          </w:p>
          <w:p w:rsidR="00314822" w:rsidRPr="003A618C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 w:rsidRPr="003A618C">
              <w:rPr>
                <w:rFonts w:ascii="Tahoma" w:hAnsi="Tahoma" w:cs="Tahoma"/>
                <w:sz w:val="16"/>
              </w:rPr>
              <w:t>Ayuda a toma de decisiones importantes como: indicación de medicamentos, maniobras terapéuticas, observación del comportamiento de enfermedad.</w:t>
            </w:r>
          </w:p>
        </w:tc>
      </w:tr>
      <w:tr w:rsidR="00314822" w:rsidTr="00314822">
        <w:trPr>
          <w:cnfStyle w:val="000000010000"/>
        </w:trPr>
        <w:tc>
          <w:tcPr>
            <w:cnfStyle w:val="001000000000"/>
            <w:tcW w:w="1999" w:type="dxa"/>
          </w:tcPr>
          <w:p w:rsidR="00314822" w:rsidRDefault="00314822" w:rsidP="00314822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Diseño</w:t>
            </w:r>
          </w:p>
        </w:tc>
        <w:tc>
          <w:tcPr>
            <w:tcW w:w="7323" w:type="dxa"/>
          </w:tcPr>
          <w:p w:rsidR="00314822" w:rsidRPr="003A618C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 w:rsidRPr="003A618C">
              <w:rPr>
                <w:rFonts w:ascii="Tahoma" w:hAnsi="Tahoma" w:cs="Tahoma"/>
                <w:sz w:val="16"/>
              </w:rPr>
              <w:t>Determinar validez</w:t>
            </w:r>
            <w:r>
              <w:rPr>
                <w:rFonts w:ascii="Tahoma" w:hAnsi="Tahoma" w:cs="Tahoma"/>
                <w:sz w:val="16"/>
              </w:rPr>
              <w:t>: es necesario compararla con otra que es considerada GOLD STANDAR</w:t>
            </w:r>
          </w:p>
          <w:p w:rsidR="00314822" w:rsidRPr="003A618C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 w:rsidRPr="003A618C">
              <w:rPr>
                <w:rFonts w:ascii="Tahoma" w:hAnsi="Tahoma" w:cs="Tahoma"/>
                <w:sz w:val="16"/>
              </w:rPr>
              <w:t>Capacidad de discriminar entre pacientes sanos y enfermos.</w:t>
            </w:r>
          </w:p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 w:rsidRPr="003A618C">
              <w:rPr>
                <w:rFonts w:ascii="Tahoma" w:hAnsi="Tahoma" w:cs="Tahoma"/>
                <w:sz w:val="16"/>
              </w:rPr>
              <w:t>Prueba reconoce sin equivocación el estado de enfermedad o salud del individuo= PERFECTA-EXACTA</w:t>
            </w:r>
          </w:p>
          <w:p w:rsidR="00314822" w:rsidRPr="003A618C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Estándar de oro: conjunto de criterios que establecen la presencia o ausencia de la enfermedad.</w:t>
            </w:r>
          </w:p>
        </w:tc>
      </w:tr>
      <w:tr w:rsidR="00314822" w:rsidTr="00314822">
        <w:trPr>
          <w:cnfStyle w:val="000000100000"/>
        </w:trPr>
        <w:tc>
          <w:tcPr>
            <w:cnfStyle w:val="001000000000"/>
            <w:tcW w:w="1999" w:type="dxa"/>
          </w:tcPr>
          <w:p w:rsidR="00314822" w:rsidRPr="00F03360" w:rsidRDefault="00314822" w:rsidP="00314822">
            <w:pPr>
              <w:rPr>
                <w:rFonts w:ascii="Broadway" w:hAnsi="Broadway"/>
              </w:rPr>
            </w:pPr>
            <w:r w:rsidRPr="00F03360">
              <w:rPr>
                <w:rFonts w:ascii="Broadway" w:hAnsi="Broadway"/>
              </w:rPr>
              <w:t>Tipo de estudio</w:t>
            </w:r>
          </w:p>
        </w:tc>
        <w:tc>
          <w:tcPr>
            <w:tcW w:w="7323" w:type="dxa"/>
          </w:tcPr>
          <w:p w:rsidR="00314822" w:rsidRPr="003A618C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 w:rsidRPr="003A618C">
              <w:rPr>
                <w:rFonts w:ascii="Tahoma" w:hAnsi="Tahoma" w:cs="Tahoma"/>
                <w:sz w:val="16"/>
              </w:rPr>
              <w:t>Transversales comparativos</w:t>
            </w:r>
          </w:p>
        </w:tc>
      </w:tr>
      <w:tr w:rsidR="00314822" w:rsidTr="00314822">
        <w:trPr>
          <w:cnfStyle w:val="000000010000"/>
        </w:trPr>
        <w:tc>
          <w:tcPr>
            <w:cnfStyle w:val="001000000000"/>
            <w:tcW w:w="1999" w:type="dxa"/>
          </w:tcPr>
          <w:p w:rsidR="00314822" w:rsidRDefault="00314822" w:rsidP="00314822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 xml:space="preserve">Resultados </w:t>
            </w:r>
            <w:proofErr w:type="spellStart"/>
            <w:r>
              <w:rPr>
                <w:rFonts w:ascii="Broadway" w:hAnsi="Broadway"/>
              </w:rPr>
              <w:t>d</w:t>
            </w:r>
            <w:r w:rsidRPr="00F03360">
              <w:rPr>
                <w:rFonts w:ascii="Broadway" w:hAnsi="Broadway"/>
              </w:rPr>
              <w:t>ictonómicos</w:t>
            </w:r>
            <w:proofErr w:type="spellEnd"/>
          </w:p>
          <w:p w:rsidR="00314822" w:rsidRDefault="00314822" w:rsidP="00314822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Positivos/</w:t>
            </w:r>
          </w:p>
          <w:p w:rsidR="00314822" w:rsidRPr="00F03360" w:rsidRDefault="00314822" w:rsidP="00314822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negativos</w:t>
            </w:r>
          </w:p>
        </w:tc>
        <w:tc>
          <w:tcPr>
            <w:tcW w:w="7323" w:type="dxa"/>
          </w:tcPr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Cuadro 2x2: </w:t>
            </w:r>
          </w:p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-Verdadero positivo</w:t>
            </w:r>
          </w:p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-Falso positivo</w:t>
            </w:r>
          </w:p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-Falso negativo</w:t>
            </w:r>
          </w:p>
          <w:p w:rsidR="00314822" w:rsidRPr="003A618C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-Verdadero positivo</w:t>
            </w:r>
          </w:p>
        </w:tc>
      </w:tr>
      <w:tr w:rsidR="00314822" w:rsidTr="00314822">
        <w:trPr>
          <w:cnfStyle w:val="000000100000"/>
        </w:trPr>
        <w:tc>
          <w:tcPr>
            <w:cnfStyle w:val="001000000000"/>
            <w:tcW w:w="1999" w:type="dxa"/>
          </w:tcPr>
          <w:p w:rsidR="00314822" w:rsidRPr="00F03360" w:rsidRDefault="00314822" w:rsidP="00314822">
            <w:pPr>
              <w:rPr>
                <w:rFonts w:ascii="Broadway" w:hAnsi="Broadway"/>
              </w:rPr>
            </w:pPr>
            <w:r w:rsidRPr="00F03360">
              <w:rPr>
                <w:rFonts w:ascii="Broadway" w:hAnsi="Broadway"/>
              </w:rPr>
              <w:t>Criterios de validez</w:t>
            </w:r>
          </w:p>
        </w:tc>
        <w:tc>
          <w:tcPr>
            <w:tcW w:w="7323" w:type="dxa"/>
          </w:tcPr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Exactitud: porcentaje de aciertos con el estándar de oro.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Sensibilidad: porcentaje de pacientes con la enfermedad que salen positivos a la prueba.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Especificidad: porcentaje de sujetos sin la enfermedad que salen negativos a la prueba.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VP+: probabilidad de que un sujeto tenga la enfermedad si la prueba diagnóstica es positiva.</w:t>
            </w:r>
          </w:p>
          <w:p w:rsidR="00314822" w:rsidRPr="003A618C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VP-: probabilidad de que un sujeto no tenga la enfermedad si la prueba es negativa.</w:t>
            </w:r>
          </w:p>
        </w:tc>
      </w:tr>
      <w:tr w:rsidR="00314822" w:rsidTr="00314822">
        <w:trPr>
          <w:cnfStyle w:val="000000010000"/>
        </w:trPr>
        <w:tc>
          <w:tcPr>
            <w:cnfStyle w:val="001000000000"/>
            <w:tcW w:w="1999" w:type="dxa"/>
          </w:tcPr>
          <w:p w:rsidR="00314822" w:rsidRPr="00F03360" w:rsidRDefault="00314822" w:rsidP="00314822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Interpretación individual</w:t>
            </w:r>
          </w:p>
        </w:tc>
        <w:tc>
          <w:tcPr>
            <w:tcW w:w="7323" w:type="dxa"/>
          </w:tcPr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Probabilidad </w:t>
            </w:r>
            <w:proofErr w:type="spellStart"/>
            <w:r>
              <w:rPr>
                <w:rFonts w:ascii="Tahoma" w:hAnsi="Tahoma" w:cs="Tahoma"/>
                <w:sz w:val="16"/>
              </w:rPr>
              <w:t>ppep</w:t>
            </w:r>
            <w:proofErr w:type="spellEnd"/>
            <w:r>
              <w:rPr>
                <w:rFonts w:ascii="Tahoma" w:hAnsi="Tahoma" w:cs="Tahoma"/>
                <w:sz w:val="16"/>
              </w:rPr>
              <w:t>/priori: La probabilidad de que una prueba diagnóstica detecte la enfermedad está relacionada con la prevalencia de la misma o de datos clínicos manifestados por el paciente.</w:t>
            </w:r>
          </w:p>
        </w:tc>
      </w:tr>
      <w:tr w:rsidR="00314822" w:rsidTr="00314822">
        <w:trPr>
          <w:cnfStyle w:val="000000100000"/>
        </w:trPr>
        <w:tc>
          <w:tcPr>
            <w:cnfStyle w:val="001000000000"/>
            <w:tcW w:w="1999" w:type="dxa"/>
          </w:tcPr>
          <w:p w:rsidR="00314822" w:rsidRDefault="00314822" w:rsidP="00314822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Resultados c</w:t>
            </w:r>
            <w:r w:rsidRPr="00F03360">
              <w:rPr>
                <w:rFonts w:ascii="Broadway" w:hAnsi="Broadway"/>
              </w:rPr>
              <w:t>uantitativos</w:t>
            </w:r>
          </w:p>
        </w:tc>
        <w:tc>
          <w:tcPr>
            <w:tcW w:w="7323" w:type="dxa"/>
          </w:tcPr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 son dicotómicos (positivos/ negativos)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Nivel de corte: cifra límite por arriba o debajo de la cual el laboratorio reporta el resultado como anormal. 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Utilizar curva de COR (curvas operantes del receptor): se calcula </w:t>
            </w:r>
            <w:proofErr w:type="spellStart"/>
            <w:r>
              <w:rPr>
                <w:rFonts w:ascii="Tahoma" w:hAnsi="Tahoma" w:cs="Tahoma"/>
                <w:sz w:val="16"/>
              </w:rPr>
              <w:t>sen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16"/>
              </w:rPr>
              <w:t>esp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de la prueba a diferente nivel de corte y eligiendo cifra que proporciona mayor exactitud.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Probabilidad diagnóstica: sujeto esté enfermo </w:t>
            </w:r>
            <w:proofErr w:type="gramStart"/>
            <w:r>
              <w:rPr>
                <w:rFonts w:ascii="Tahoma" w:hAnsi="Tahoma" w:cs="Tahoma"/>
                <w:sz w:val="16"/>
              </w:rPr>
              <w:t>dada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la cifra obtenida en la prueba.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1ro: Razón de verosimilitud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2do: Momios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3ro: </w:t>
            </w:r>
            <w:proofErr w:type="spellStart"/>
            <w:r>
              <w:rPr>
                <w:rFonts w:ascii="Tahoma" w:hAnsi="Tahoma" w:cs="Tahoma"/>
                <w:sz w:val="16"/>
              </w:rPr>
              <w:t>Odds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ppep</w:t>
            </w:r>
            <w:proofErr w:type="spellEnd"/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4to: </w:t>
            </w:r>
            <w:proofErr w:type="spellStart"/>
            <w:r>
              <w:rPr>
                <w:rFonts w:ascii="Tahoma" w:hAnsi="Tahoma" w:cs="Tahoma"/>
                <w:sz w:val="16"/>
              </w:rPr>
              <w:t>Odds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ppop</w:t>
            </w:r>
            <w:proofErr w:type="spellEnd"/>
          </w:p>
        </w:tc>
      </w:tr>
      <w:tr w:rsidR="00314822" w:rsidTr="00314822">
        <w:trPr>
          <w:cnfStyle w:val="000000010000"/>
        </w:trPr>
        <w:tc>
          <w:tcPr>
            <w:cnfStyle w:val="001000000000"/>
            <w:tcW w:w="1999" w:type="dxa"/>
          </w:tcPr>
          <w:p w:rsidR="00314822" w:rsidRPr="00F03360" w:rsidRDefault="00314822" w:rsidP="00314822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Decisión de uso de una prueba</w:t>
            </w:r>
          </w:p>
        </w:tc>
        <w:tc>
          <w:tcPr>
            <w:tcW w:w="7323" w:type="dxa"/>
          </w:tcPr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Reproducibilidad</w:t>
            </w:r>
          </w:p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Beneficio</w:t>
            </w:r>
          </w:p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Inocuidad</w:t>
            </w:r>
          </w:p>
          <w:p w:rsidR="00314822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Espectro de la enfermedad</w:t>
            </w:r>
          </w:p>
          <w:p w:rsidR="00314822" w:rsidRPr="003A618C" w:rsidRDefault="00314822" w:rsidP="00314822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Normalidad</w:t>
            </w:r>
          </w:p>
        </w:tc>
      </w:tr>
      <w:tr w:rsidR="00314822" w:rsidTr="00314822">
        <w:trPr>
          <w:cnfStyle w:val="000000100000"/>
        </w:trPr>
        <w:tc>
          <w:tcPr>
            <w:cnfStyle w:val="001000000000"/>
            <w:tcW w:w="1999" w:type="dxa"/>
          </w:tcPr>
          <w:p w:rsidR="00314822" w:rsidRPr="00F03360" w:rsidRDefault="00314822" w:rsidP="00314822">
            <w:pPr>
              <w:rPr>
                <w:rFonts w:ascii="Broadway" w:hAnsi="Broadway"/>
              </w:rPr>
            </w:pPr>
            <w:r w:rsidRPr="00F03360">
              <w:rPr>
                <w:rFonts w:ascii="Broadway" w:hAnsi="Broadway"/>
              </w:rPr>
              <w:t>Fórmulas</w:t>
            </w:r>
          </w:p>
        </w:tc>
        <w:tc>
          <w:tcPr>
            <w:tcW w:w="7323" w:type="dxa"/>
          </w:tcPr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Sen</w:t>
            </w:r>
            <w:proofErr w:type="spellEnd"/>
            <w:r>
              <w:rPr>
                <w:rFonts w:ascii="Tahoma" w:hAnsi="Tahoma" w:cs="Tahoma"/>
                <w:sz w:val="16"/>
              </w:rPr>
              <w:t>: a/</w:t>
            </w:r>
            <w:proofErr w:type="spellStart"/>
            <w:r>
              <w:rPr>
                <w:rFonts w:ascii="Tahoma" w:hAnsi="Tahoma" w:cs="Tahoma"/>
                <w:sz w:val="16"/>
              </w:rPr>
              <w:t>a+c</w:t>
            </w:r>
            <w:proofErr w:type="spellEnd"/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Esp</w:t>
            </w:r>
            <w:proofErr w:type="spellEnd"/>
            <w:r>
              <w:rPr>
                <w:rFonts w:ascii="Tahoma" w:hAnsi="Tahoma" w:cs="Tahoma"/>
                <w:sz w:val="16"/>
              </w:rPr>
              <w:t>: d/</w:t>
            </w:r>
            <w:proofErr w:type="spellStart"/>
            <w:r>
              <w:rPr>
                <w:rFonts w:ascii="Tahoma" w:hAnsi="Tahoma" w:cs="Tahoma"/>
                <w:sz w:val="16"/>
              </w:rPr>
              <w:t>d+b</w:t>
            </w:r>
            <w:proofErr w:type="spellEnd"/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VP+: a/</w:t>
            </w:r>
            <w:proofErr w:type="spellStart"/>
            <w:r>
              <w:rPr>
                <w:rFonts w:ascii="Tahoma" w:hAnsi="Tahoma" w:cs="Tahoma"/>
                <w:sz w:val="16"/>
              </w:rPr>
              <w:t>a+b</w:t>
            </w:r>
            <w:proofErr w:type="spellEnd"/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Vp</w:t>
            </w:r>
            <w:proofErr w:type="spellEnd"/>
            <w:r>
              <w:rPr>
                <w:rFonts w:ascii="Tahoma" w:hAnsi="Tahoma" w:cs="Tahoma"/>
                <w:sz w:val="16"/>
              </w:rPr>
              <w:t>-: d/</w:t>
            </w:r>
            <w:proofErr w:type="spellStart"/>
            <w:r>
              <w:rPr>
                <w:rFonts w:ascii="Tahoma" w:hAnsi="Tahoma" w:cs="Tahoma"/>
                <w:sz w:val="16"/>
              </w:rPr>
              <w:t>d+c</w:t>
            </w:r>
            <w:proofErr w:type="spellEnd"/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Prevalencia: </w:t>
            </w:r>
            <w:proofErr w:type="spellStart"/>
            <w:r>
              <w:rPr>
                <w:rFonts w:ascii="Tahoma" w:hAnsi="Tahoma" w:cs="Tahoma"/>
                <w:sz w:val="16"/>
              </w:rPr>
              <w:t>a+c</w:t>
            </w:r>
            <w:proofErr w:type="spellEnd"/>
            <w:r>
              <w:rPr>
                <w:rFonts w:ascii="Tahoma" w:hAnsi="Tahoma" w:cs="Tahoma"/>
                <w:sz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</w:rPr>
              <w:t>a+b+c+d</w:t>
            </w:r>
            <w:proofErr w:type="spellEnd"/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RV: </w:t>
            </w:r>
            <w:proofErr w:type="spellStart"/>
            <w:r>
              <w:rPr>
                <w:rFonts w:ascii="Tahoma" w:hAnsi="Tahoma" w:cs="Tahoma"/>
                <w:sz w:val="16"/>
              </w:rPr>
              <w:t>Sen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(1-esp)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ppep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6"/>
              </w:rPr>
              <w:t>prob</w:t>
            </w:r>
            <w:proofErr w:type="spellEnd"/>
            <w:r>
              <w:rPr>
                <w:rFonts w:ascii="Tahoma" w:hAnsi="Tahoma" w:cs="Tahoma"/>
                <w:sz w:val="16"/>
              </w:rPr>
              <w:t>/1-prob</w:t>
            </w:r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ppop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: RV+ </w:t>
            </w: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ppep</w:t>
            </w:r>
            <w:proofErr w:type="spellEnd"/>
          </w:p>
          <w:p w:rsidR="00314822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%</w:t>
            </w: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ppop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ppop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/1- </w:t>
            </w: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ppop</w:t>
            </w:r>
            <w:proofErr w:type="spellEnd"/>
          </w:p>
          <w:p w:rsidR="00314822" w:rsidRPr="003A618C" w:rsidRDefault="00314822" w:rsidP="00314822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Momios: ad/</w:t>
            </w:r>
            <w:proofErr w:type="spellStart"/>
            <w:r>
              <w:rPr>
                <w:rFonts w:ascii="Tahoma" w:hAnsi="Tahoma" w:cs="Tahoma"/>
                <w:sz w:val="16"/>
              </w:rPr>
              <w:t>bc</w:t>
            </w:r>
            <w:proofErr w:type="spellEnd"/>
          </w:p>
        </w:tc>
      </w:tr>
    </w:tbl>
    <w:p w:rsidR="00314822" w:rsidRDefault="00314822"/>
    <w:p w:rsidR="00314822" w:rsidRDefault="00314822"/>
    <w:p w:rsidR="00314822" w:rsidRDefault="00314822"/>
    <w:p w:rsidR="00314822" w:rsidRDefault="00314822"/>
    <w:p w:rsidR="00314822" w:rsidRDefault="00314822"/>
    <w:tbl>
      <w:tblPr>
        <w:tblStyle w:val="Cuadrculaclara-nfasis4"/>
        <w:tblpPr w:leftFromText="141" w:rightFromText="141" w:vertAnchor="text" w:horzAnchor="margin" w:tblpY="390"/>
        <w:tblW w:w="9322" w:type="dxa"/>
        <w:tblLayout w:type="fixed"/>
        <w:tblLook w:val="04A0"/>
      </w:tblPr>
      <w:tblGrid>
        <w:gridCol w:w="1526"/>
        <w:gridCol w:w="2268"/>
        <w:gridCol w:w="2977"/>
        <w:gridCol w:w="2551"/>
      </w:tblGrid>
      <w:tr w:rsidR="001A49DF" w:rsidRPr="00F03360" w:rsidTr="001A49DF">
        <w:trPr>
          <w:cnfStyle w:val="100000000000"/>
          <w:trHeight w:val="43"/>
        </w:trPr>
        <w:tc>
          <w:tcPr>
            <w:cnfStyle w:val="001000000000"/>
            <w:tcW w:w="1526" w:type="dxa"/>
          </w:tcPr>
          <w:p w:rsidR="001A49DF" w:rsidRDefault="001A49DF" w:rsidP="001A49DF">
            <w:pPr>
              <w:ind w:left="-284" w:firstLine="284"/>
              <w:rPr>
                <w:rFonts w:ascii="Broadway" w:hAnsi="Broadway"/>
              </w:rPr>
            </w:pPr>
          </w:p>
        </w:tc>
        <w:tc>
          <w:tcPr>
            <w:tcW w:w="2268" w:type="dxa"/>
          </w:tcPr>
          <w:p w:rsidR="001A49DF" w:rsidRPr="00F03360" w:rsidRDefault="001A49DF" w:rsidP="001A49DF">
            <w:pPr>
              <w:cnfStyle w:val="100000000000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Asociación y riesgo</w:t>
            </w:r>
          </w:p>
        </w:tc>
        <w:tc>
          <w:tcPr>
            <w:tcW w:w="2977" w:type="dxa"/>
          </w:tcPr>
          <w:p w:rsidR="001A49DF" w:rsidRPr="0009138E" w:rsidRDefault="001A49DF" w:rsidP="001A49DF">
            <w:pPr>
              <w:cnfStyle w:val="100000000000"/>
              <w:rPr>
                <w:rFonts w:ascii="Broadway" w:hAnsi="Broadway" w:cs="Tahoma"/>
              </w:rPr>
            </w:pPr>
            <w:r w:rsidRPr="0009138E">
              <w:rPr>
                <w:rFonts w:ascii="Broadway" w:hAnsi="Broadway" w:cs="Tahoma"/>
              </w:rPr>
              <w:t>Estudios de Cohorte</w:t>
            </w:r>
          </w:p>
        </w:tc>
        <w:tc>
          <w:tcPr>
            <w:tcW w:w="2551" w:type="dxa"/>
          </w:tcPr>
          <w:p w:rsidR="001A49DF" w:rsidRPr="0009138E" w:rsidRDefault="001A49DF" w:rsidP="001A49DF">
            <w:pPr>
              <w:cnfStyle w:val="100000000000"/>
              <w:rPr>
                <w:rFonts w:ascii="Broadway" w:hAnsi="Broadway" w:cs="Tahoma"/>
              </w:rPr>
            </w:pPr>
            <w:r>
              <w:rPr>
                <w:rFonts w:ascii="Broadway" w:hAnsi="Broadway" w:cs="Tahoma"/>
              </w:rPr>
              <w:t>Estudios de casos y control</w:t>
            </w:r>
          </w:p>
        </w:tc>
      </w:tr>
      <w:tr w:rsidR="001A49DF" w:rsidRPr="003A618C" w:rsidTr="001A49DF">
        <w:trPr>
          <w:cnfStyle w:val="000000100000"/>
        </w:trPr>
        <w:tc>
          <w:tcPr>
            <w:cnfStyle w:val="001000000000"/>
            <w:tcW w:w="1526" w:type="dxa"/>
          </w:tcPr>
          <w:p w:rsidR="001A49DF" w:rsidRPr="0009138E" w:rsidRDefault="001A49DF" w:rsidP="001A49DF">
            <w:pPr>
              <w:rPr>
                <w:rFonts w:ascii="Tahoma" w:hAnsi="Tahoma" w:cs="Tahoma"/>
              </w:rPr>
            </w:pPr>
            <w:r w:rsidRPr="0009138E">
              <w:rPr>
                <w:rFonts w:ascii="Broadway" w:hAnsi="Broadway"/>
              </w:rPr>
              <w:t>Definición</w:t>
            </w:r>
          </w:p>
        </w:tc>
        <w:tc>
          <w:tcPr>
            <w:tcW w:w="2268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 w:rsidRPr="00115C04">
              <w:rPr>
                <w:rFonts w:ascii="Tahoma" w:hAnsi="Tahoma" w:cs="Tahoma"/>
                <w:sz w:val="16"/>
              </w:rPr>
              <w:t>La probabilidad de desarrollar una enfermedad u otro evento de interés cuando se produce la exposición a un factor determinado.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Asociación causal: factor que se asocia casi invariablemente con el desarrollo de la enfermedad.</w:t>
            </w:r>
          </w:p>
          <w:p w:rsidR="001A49DF" w:rsidRPr="00115C04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Factor: marcador o indicador, su presencia se asocia con alto riesgo de desarrollar la enfermedad.</w:t>
            </w:r>
          </w:p>
        </w:tc>
        <w:tc>
          <w:tcPr>
            <w:tcW w:w="2977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Grupo de individuos que tienen una o varias características en común y son seguidos en su evolución del tiempo en busca del desarrollo de una enfermedad u otro evento de interés.</w:t>
            </w:r>
          </w:p>
          <w:p w:rsidR="001A49DF" w:rsidRPr="003A618C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 identifican individuos que ya tienen la enfermedad  y se compara simultáneamente la exposición a factores de riesgo con un grupo que no la tiene.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</w:tc>
      </w:tr>
      <w:tr w:rsidR="001A49DF" w:rsidRPr="003A618C" w:rsidTr="001A49DF">
        <w:trPr>
          <w:cnfStyle w:val="000000010000"/>
        </w:trPr>
        <w:tc>
          <w:tcPr>
            <w:cnfStyle w:val="001000000000"/>
            <w:tcW w:w="1526" w:type="dxa"/>
          </w:tcPr>
          <w:p w:rsidR="001A49DF" w:rsidRPr="0009138E" w:rsidRDefault="001A49DF" w:rsidP="001A49DF">
            <w:pPr>
              <w:rPr>
                <w:rFonts w:ascii="Broadway" w:hAnsi="Broadway"/>
              </w:rPr>
            </w:pPr>
            <w:r w:rsidRPr="0009138E">
              <w:rPr>
                <w:rFonts w:ascii="Broadway" w:hAnsi="Broadway"/>
              </w:rPr>
              <w:t>Tipo de estudio</w:t>
            </w:r>
          </w:p>
        </w:tc>
        <w:tc>
          <w:tcPr>
            <w:tcW w:w="2268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Observacionales</w:t>
            </w:r>
          </w:p>
          <w:p w:rsidR="001A49DF" w:rsidRPr="00AE088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 w:rsidRPr="00AE088F">
              <w:rPr>
                <w:rFonts w:ascii="Tahoma" w:hAnsi="Tahoma" w:cs="Tahoma"/>
                <w:sz w:val="16"/>
              </w:rPr>
              <w:t>Se utiliza para dilucidar factores causales o de riesgo (importante para la prevención)</w:t>
            </w:r>
          </w:p>
        </w:tc>
        <w:tc>
          <w:tcPr>
            <w:tcW w:w="2977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Longitudinal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-Prospectivos: concurrentes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-Retrospectivos: históricos</w:t>
            </w:r>
          </w:p>
          <w:p w:rsidR="001A49DF" w:rsidRPr="003A618C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Longitudinal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-Retrospectivo</w:t>
            </w:r>
          </w:p>
        </w:tc>
      </w:tr>
      <w:tr w:rsidR="001A49DF" w:rsidRPr="003A618C" w:rsidTr="001A49DF">
        <w:trPr>
          <w:cnfStyle w:val="000000100000"/>
        </w:trPr>
        <w:tc>
          <w:tcPr>
            <w:cnfStyle w:val="001000000000"/>
            <w:tcW w:w="1526" w:type="dxa"/>
          </w:tcPr>
          <w:p w:rsidR="001A49DF" w:rsidRPr="0009138E" w:rsidRDefault="001A49DF" w:rsidP="001A49DF">
            <w:pPr>
              <w:rPr>
                <w:rFonts w:ascii="Broadway" w:hAnsi="Broadway" w:cs="Tahoma"/>
              </w:rPr>
            </w:pPr>
            <w:r w:rsidRPr="0009138E">
              <w:rPr>
                <w:rFonts w:ascii="Broadway" w:hAnsi="Broadway" w:cs="Tahoma"/>
              </w:rPr>
              <w:t xml:space="preserve">Diseño de los estudios </w:t>
            </w:r>
          </w:p>
        </w:tc>
        <w:tc>
          <w:tcPr>
            <w:tcW w:w="2268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Exponer un grupo de individuos al supuesto factor de riesgo y comparamos la tasa de enfermedades con el otro grupo que no ha sido expuesto</w:t>
            </w:r>
          </w:p>
          <w:p w:rsidR="001A49DF" w:rsidRPr="003A618C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Definir quién está expuesto o no expuesto al factor de riesgo y seguimiento por tiempo suficiente.</w:t>
            </w:r>
          </w:p>
          <w:p w:rsidR="001A49DF" w:rsidRPr="003A618C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 compara la incidencia de una enfermedad en individuos expuestos y en no expuestos</w:t>
            </w:r>
          </w:p>
        </w:tc>
        <w:tc>
          <w:tcPr>
            <w:tcW w:w="2551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 inician con la identificación de un grupo de casos que tienen la enfermedad y un grupo de control que no la tiene.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Después se determina retrospectivamente la exposición de uno o varios factores de riesgo que se desea investigar y se compara la magnitud en ambos grupos.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Escoger casos incidentes</w:t>
            </w:r>
          </w:p>
        </w:tc>
      </w:tr>
      <w:tr w:rsidR="001A49DF" w:rsidRPr="003A618C" w:rsidTr="001A49DF">
        <w:trPr>
          <w:cnfStyle w:val="000000010000"/>
        </w:trPr>
        <w:tc>
          <w:tcPr>
            <w:cnfStyle w:val="001000000000"/>
            <w:tcW w:w="1526" w:type="dxa"/>
          </w:tcPr>
          <w:p w:rsidR="001A49DF" w:rsidRPr="0009138E" w:rsidRDefault="001A49DF" w:rsidP="001A49DF">
            <w:pPr>
              <w:rPr>
                <w:rFonts w:ascii="Broadway" w:hAnsi="Broadway" w:cs="Tahoma"/>
              </w:rPr>
            </w:pPr>
            <w:r>
              <w:rPr>
                <w:rFonts w:ascii="Broadway" w:hAnsi="Broadway" w:cs="Tahoma"/>
              </w:rPr>
              <w:t>Ventajas/Desventajas</w:t>
            </w:r>
          </w:p>
        </w:tc>
        <w:tc>
          <w:tcPr>
            <w:tcW w:w="2268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-Tiempo largo para desarrollo de la enfermedad.</w:t>
            </w:r>
          </w:p>
          <w:p w:rsidR="001A49DF" w:rsidRPr="004D7595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-Exponer a un grupo para desarrollo de enfermedad no es ético.</w:t>
            </w:r>
          </w:p>
        </w:tc>
        <w:tc>
          <w:tcPr>
            <w:tcW w:w="2977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Son el mejor sustituto de ensayos clínicos controlados PERO: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proofErr w:type="gramStart"/>
            <w:r>
              <w:rPr>
                <w:rFonts w:ascii="Tahoma" w:hAnsi="Tahoma" w:cs="Tahoma"/>
                <w:sz w:val="16"/>
              </w:rPr>
              <w:t>-Poco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prácticos para enfermedades raras.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-Requieren tiempo de seguimiento largo.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-Costos  elevados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-Sujeto a sesgos</w:t>
            </w:r>
          </w:p>
        </w:tc>
        <w:tc>
          <w:tcPr>
            <w:tcW w:w="2551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Son más prácticos y económicos.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</w:p>
        </w:tc>
      </w:tr>
      <w:tr w:rsidR="001A49DF" w:rsidRPr="003A618C" w:rsidTr="001A49DF">
        <w:trPr>
          <w:cnfStyle w:val="000000100000"/>
        </w:trPr>
        <w:tc>
          <w:tcPr>
            <w:cnfStyle w:val="001000000000"/>
            <w:tcW w:w="1526" w:type="dxa"/>
          </w:tcPr>
          <w:p w:rsidR="001A49DF" w:rsidRPr="0009138E" w:rsidRDefault="001A49DF" w:rsidP="001A49DF">
            <w:pPr>
              <w:rPr>
                <w:rFonts w:ascii="Broadway" w:hAnsi="Broadway" w:cs="Tahoma"/>
              </w:rPr>
            </w:pPr>
            <w:r>
              <w:rPr>
                <w:rFonts w:ascii="Broadway" w:hAnsi="Broadway" w:cs="Tahoma"/>
              </w:rPr>
              <w:t>Sesgos</w:t>
            </w:r>
          </w:p>
        </w:tc>
        <w:tc>
          <w:tcPr>
            <w:tcW w:w="2268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Sensibilidad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Sobrevivencia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Migración</w:t>
            </w:r>
          </w:p>
          <w:p w:rsidR="001A49DF" w:rsidRPr="003A618C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Información</w:t>
            </w:r>
          </w:p>
        </w:tc>
        <w:tc>
          <w:tcPr>
            <w:tcW w:w="2977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Más </w:t>
            </w:r>
            <w:proofErr w:type="spellStart"/>
            <w:r>
              <w:rPr>
                <w:rFonts w:ascii="Tahoma" w:hAnsi="Tahoma" w:cs="Tahoma"/>
                <w:sz w:val="16"/>
              </w:rPr>
              <w:t>suceptibles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a sesgos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-Sesgo de prevalencia, información y memoria</w:t>
            </w:r>
          </w:p>
        </w:tc>
      </w:tr>
      <w:tr w:rsidR="001A49DF" w:rsidRPr="003A618C" w:rsidTr="001A49DF">
        <w:trPr>
          <w:cnfStyle w:val="000000010000"/>
        </w:trPr>
        <w:tc>
          <w:tcPr>
            <w:cnfStyle w:val="001000000000"/>
            <w:tcW w:w="1526" w:type="dxa"/>
          </w:tcPr>
          <w:p w:rsidR="001A49DF" w:rsidRPr="0009138E" w:rsidRDefault="001A49DF" w:rsidP="001A49DF">
            <w:pPr>
              <w:rPr>
                <w:rFonts w:ascii="Broadway" w:hAnsi="Broadway" w:cs="Tahoma"/>
              </w:rPr>
            </w:pPr>
            <w:r>
              <w:rPr>
                <w:rFonts w:ascii="Broadway" w:hAnsi="Broadway" w:cs="Tahoma"/>
              </w:rPr>
              <w:t>Control sesgos</w:t>
            </w:r>
          </w:p>
        </w:tc>
        <w:tc>
          <w:tcPr>
            <w:tcW w:w="2268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Restricción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Pareamiento</w:t>
            </w:r>
            <w:proofErr w:type="spellEnd"/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Estratificación</w:t>
            </w:r>
          </w:p>
          <w:p w:rsidR="001A49DF" w:rsidRPr="003A618C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Análisis </w:t>
            </w:r>
            <w:proofErr w:type="spellStart"/>
            <w:r>
              <w:rPr>
                <w:rFonts w:ascii="Tahoma" w:hAnsi="Tahoma" w:cs="Tahoma"/>
                <w:sz w:val="16"/>
              </w:rPr>
              <w:t>multivariado</w:t>
            </w:r>
            <w:proofErr w:type="spellEnd"/>
          </w:p>
        </w:tc>
        <w:tc>
          <w:tcPr>
            <w:tcW w:w="2977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Apareamiento: más utilizado.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Escoger grupo de control de diferentes fuentes pero de la misma población.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 la razón de momios es similar a la de controles es posible que </w:t>
            </w:r>
            <w:r>
              <w:rPr>
                <w:rFonts w:ascii="Tahoma" w:hAnsi="Tahoma" w:cs="Tahoma"/>
                <w:sz w:val="16"/>
              </w:rPr>
              <w:t>existan</w:t>
            </w:r>
            <w:r>
              <w:rPr>
                <w:rFonts w:ascii="Tahoma" w:hAnsi="Tahoma" w:cs="Tahoma"/>
                <w:sz w:val="16"/>
              </w:rPr>
              <w:t xml:space="preserve"> sesgos de selección.</w:t>
            </w:r>
          </w:p>
        </w:tc>
      </w:tr>
      <w:tr w:rsidR="001A49DF" w:rsidRPr="003A618C" w:rsidTr="001A49DF">
        <w:trPr>
          <w:cnfStyle w:val="000000100000"/>
        </w:trPr>
        <w:tc>
          <w:tcPr>
            <w:cnfStyle w:val="001000000000"/>
            <w:tcW w:w="1526" w:type="dxa"/>
          </w:tcPr>
          <w:p w:rsidR="001A49DF" w:rsidRPr="0009138E" w:rsidRDefault="001A49DF" w:rsidP="001A49DF">
            <w:pPr>
              <w:rPr>
                <w:rFonts w:ascii="Broadway" w:hAnsi="Broadway" w:cs="Tahoma"/>
              </w:rPr>
            </w:pPr>
            <w:r>
              <w:rPr>
                <w:rFonts w:ascii="Broadway" w:hAnsi="Broadway" w:cs="Tahoma"/>
              </w:rPr>
              <w:t>Medidas de asociación</w:t>
            </w:r>
          </w:p>
        </w:tc>
        <w:tc>
          <w:tcPr>
            <w:tcW w:w="2268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Son estimaciones de la relación entre la exposición a un factor y la incidencia o el pronóstico de una enfermedad.</w:t>
            </w:r>
          </w:p>
          <w:p w:rsidR="001A49DF" w:rsidRPr="003A618C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Riesgo relativo: más utilizada.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Es el cociente de la incidencia de la enfermedad en los individuos expuestos y no expuestos al factor en estudio.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*= a 1: la enfermedad es igual en los expuestos y no expuestos.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‘Factor no influye en enfermedad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*&gt;</w:t>
            </w:r>
            <w:proofErr w:type="gramStart"/>
            <w:r>
              <w:rPr>
                <w:rFonts w:ascii="Tahoma" w:hAnsi="Tahoma" w:cs="Tahoma"/>
                <w:sz w:val="16"/>
              </w:rPr>
              <w:t>a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1: incidencia mayor en el grupo de los expuestos. 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‘Factor de riesgo para enfermedad.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lastRenderedPageBreak/>
              <w:t xml:space="preserve">*&lt; </w:t>
            </w:r>
            <w:proofErr w:type="gramStart"/>
            <w:r>
              <w:rPr>
                <w:rFonts w:ascii="Tahoma" w:hAnsi="Tahoma" w:cs="Tahoma"/>
                <w:sz w:val="16"/>
              </w:rPr>
              <w:t>a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1: incidencia menor en grupo de los expuestos.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‘Factor de protección.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A: individuos con enfermedad y exposición.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B: no tienen la enfermedad, pero sí la exposición.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C: o expuestos pero con la enfermedad.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D: no tienen la exposición ni la enfermedad.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Incidencias acumuladas de la enfermedad en el grupo de expuestos y no expuestos.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-Incidencia acumulada: dividiendo el número de casos con la enfermedad y la exposición  entre todos los expuestos.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-Incidencia acumulada en no expuestos: dividiendo el número ce casos con la enfermedad  y sin exposición entre todos los no expuestos.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Riesgo atribuible: la diferencia de la enfermedad en expuestos  y no expuestos es el riesgo que se le puede atribuir al factor.</w:t>
            </w:r>
          </w:p>
        </w:tc>
        <w:tc>
          <w:tcPr>
            <w:tcW w:w="2551" w:type="dxa"/>
          </w:tcPr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lastRenderedPageBreak/>
              <w:t>Razón de momios: más utilizada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Dividiendo momios de  enfermedad  ente momios de no enfermedad.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*&gt; a 1: Riesgo </w:t>
            </w:r>
          </w:p>
          <w:p w:rsidR="001A49DF" w:rsidRDefault="001A49DF" w:rsidP="001A49DF">
            <w:pPr>
              <w:cnfStyle w:val="0000001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*&lt; a 1: Protección</w:t>
            </w:r>
          </w:p>
        </w:tc>
      </w:tr>
      <w:tr w:rsidR="001A49DF" w:rsidRPr="003A618C" w:rsidTr="001A49DF">
        <w:trPr>
          <w:cnfStyle w:val="000000010000"/>
        </w:trPr>
        <w:tc>
          <w:tcPr>
            <w:cnfStyle w:val="001000000000"/>
            <w:tcW w:w="1526" w:type="dxa"/>
          </w:tcPr>
          <w:p w:rsidR="001A49DF" w:rsidRPr="0009138E" w:rsidRDefault="001A49DF" w:rsidP="001A49DF">
            <w:pPr>
              <w:rPr>
                <w:rFonts w:ascii="Broadway" w:hAnsi="Broadway" w:cs="Tahoma"/>
              </w:rPr>
            </w:pPr>
            <w:r>
              <w:rPr>
                <w:rFonts w:ascii="Broadway" w:hAnsi="Broadway" w:cs="Tahoma"/>
              </w:rPr>
              <w:lastRenderedPageBreak/>
              <w:t>Fórmulas</w:t>
            </w:r>
          </w:p>
        </w:tc>
        <w:tc>
          <w:tcPr>
            <w:tcW w:w="2268" w:type="dxa"/>
          </w:tcPr>
          <w:p w:rsidR="001A49DF" w:rsidRPr="003A618C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CIe</w:t>
            </w:r>
            <w:proofErr w:type="spellEnd"/>
            <w:r>
              <w:rPr>
                <w:rFonts w:ascii="Tahoma" w:hAnsi="Tahoma" w:cs="Tahoma"/>
                <w:sz w:val="16"/>
              </w:rPr>
              <w:t>: a/</w:t>
            </w:r>
            <w:proofErr w:type="spellStart"/>
            <w:r>
              <w:rPr>
                <w:rFonts w:ascii="Tahoma" w:hAnsi="Tahoma" w:cs="Tahoma"/>
                <w:sz w:val="16"/>
              </w:rPr>
              <w:t>a+b</w:t>
            </w:r>
            <w:proofErr w:type="spellEnd"/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CIo</w:t>
            </w:r>
            <w:proofErr w:type="spellEnd"/>
            <w:r>
              <w:rPr>
                <w:rFonts w:ascii="Tahoma" w:hAnsi="Tahoma" w:cs="Tahoma"/>
                <w:sz w:val="16"/>
              </w:rPr>
              <w:t>: c/</w:t>
            </w:r>
            <w:proofErr w:type="spellStart"/>
            <w:r>
              <w:rPr>
                <w:rFonts w:ascii="Tahoma" w:hAnsi="Tahoma" w:cs="Tahoma"/>
                <w:sz w:val="16"/>
              </w:rPr>
              <w:t>c+d</w:t>
            </w:r>
            <w:proofErr w:type="spellEnd"/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RR: </w:t>
            </w:r>
            <w:proofErr w:type="spellStart"/>
            <w:r>
              <w:rPr>
                <w:rFonts w:ascii="Tahoma" w:hAnsi="Tahoma" w:cs="Tahoma"/>
                <w:sz w:val="16"/>
              </w:rPr>
              <w:t>CIe</w:t>
            </w:r>
            <w:proofErr w:type="spellEnd"/>
            <w:r>
              <w:rPr>
                <w:rFonts w:ascii="Tahoma" w:hAnsi="Tahoma" w:cs="Tahoma"/>
                <w:sz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</w:rPr>
              <w:t>CIo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Ra: </w:t>
            </w:r>
            <w:proofErr w:type="spellStart"/>
            <w:r>
              <w:rPr>
                <w:rFonts w:ascii="Tahoma" w:hAnsi="Tahoma" w:cs="Tahoma"/>
                <w:sz w:val="16"/>
              </w:rPr>
              <w:t>Ie</w:t>
            </w:r>
            <w:proofErr w:type="spellEnd"/>
            <w:r>
              <w:rPr>
                <w:rFonts w:ascii="Tahoma" w:hAnsi="Tahoma" w:cs="Tahoma"/>
                <w:sz w:val="16"/>
              </w:rPr>
              <w:t>-Io</w:t>
            </w:r>
          </w:p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%Ra: (Ra/</w:t>
            </w:r>
            <w:proofErr w:type="spellStart"/>
            <w:r>
              <w:rPr>
                <w:rFonts w:ascii="Tahoma" w:hAnsi="Tahoma" w:cs="Tahoma"/>
                <w:sz w:val="16"/>
              </w:rPr>
              <w:t>Ie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)*100 </w:t>
            </w:r>
          </w:p>
        </w:tc>
        <w:tc>
          <w:tcPr>
            <w:tcW w:w="2551" w:type="dxa"/>
          </w:tcPr>
          <w:p w:rsidR="001A49DF" w:rsidRDefault="001A49DF" w:rsidP="001A49DF">
            <w:pPr>
              <w:cnfStyle w:val="00000001000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ratio: ad/</w:t>
            </w:r>
            <w:proofErr w:type="spellStart"/>
            <w:r>
              <w:rPr>
                <w:rFonts w:ascii="Tahoma" w:hAnsi="Tahoma" w:cs="Tahoma"/>
                <w:sz w:val="16"/>
              </w:rPr>
              <w:t>bc</w:t>
            </w:r>
            <w:proofErr w:type="spellEnd"/>
          </w:p>
        </w:tc>
      </w:tr>
    </w:tbl>
    <w:p w:rsidR="00314822" w:rsidRDefault="00314822"/>
    <w:p w:rsidR="00314822" w:rsidRDefault="00314822"/>
    <w:p w:rsidR="00E2190F" w:rsidRDefault="00E2190F"/>
    <w:sectPr w:rsidR="00E2190F" w:rsidSect="0091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DD" w:rsidRDefault="007A72DD" w:rsidP="00314822">
      <w:pPr>
        <w:spacing w:after="0" w:line="240" w:lineRule="auto"/>
      </w:pPr>
      <w:r>
        <w:separator/>
      </w:r>
    </w:p>
  </w:endnote>
  <w:endnote w:type="continuationSeparator" w:id="0">
    <w:p w:rsidR="007A72DD" w:rsidRDefault="007A72DD" w:rsidP="0031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DD" w:rsidRDefault="007A72DD" w:rsidP="00314822">
      <w:pPr>
        <w:spacing w:after="0" w:line="240" w:lineRule="auto"/>
      </w:pPr>
      <w:r>
        <w:separator/>
      </w:r>
    </w:p>
  </w:footnote>
  <w:footnote w:type="continuationSeparator" w:id="0">
    <w:p w:rsidR="007A72DD" w:rsidRDefault="007A72DD" w:rsidP="0031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36B2"/>
    <w:multiLevelType w:val="hybridMultilevel"/>
    <w:tmpl w:val="28583F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360"/>
    <w:rsid w:val="00014601"/>
    <w:rsid w:val="0009138E"/>
    <w:rsid w:val="000B5DD3"/>
    <w:rsid w:val="000C0292"/>
    <w:rsid w:val="000C31AA"/>
    <w:rsid w:val="000E2F64"/>
    <w:rsid w:val="00115C04"/>
    <w:rsid w:val="001171A8"/>
    <w:rsid w:val="00125966"/>
    <w:rsid w:val="001308C9"/>
    <w:rsid w:val="001919BF"/>
    <w:rsid w:val="001A49DF"/>
    <w:rsid w:val="001F621F"/>
    <w:rsid w:val="0025461C"/>
    <w:rsid w:val="002631ED"/>
    <w:rsid w:val="00266E61"/>
    <w:rsid w:val="002918E0"/>
    <w:rsid w:val="002D2E65"/>
    <w:rsid w:val="00314822"/>
    <w:rsid w:val="003316FF"/>
    <w:rsid w:val="00332308"/>
    <w:rsid w:val="00362B3E"/>
    <w:rsid w:val="0036602A"/>
    <w:rsid w:val="00371925"/>
    <w:rsid w:val="003A618C"/>
    <w:rsid w:val="0041042F"/>
    <w:rsid w:val="00475256"/>
    <w:rsid w:val="004D7595"/>
    <w:rsid w:val="00534C57"/>
    <w:rsid w:val="005362A9"/>
    <w:rsid w:val="005367F3"/>
    <w:rsid w:val="005B19C6"/>
    <w:rsid w:val="005D44EA"/>
    <w:rsid w:val="00604D39"/>
    <w:rsid w:val="00613A46"/>
    <w:rsid w:val="00684C93"/>
    <w:rsid w:val="007153F1"/>
    <w:rsid w:val="00733937"/>
    <w:rsid w:val="007548B9"/>
    <w:rsid w:val="007568C5"/>
    <w:rsid w:val="007A1F2C"/>
    <w:rsid w:val="007A72DD"/>
    <w:rsid w:val="007C674E"/>
    <w:rsid w:val="007D0E5C"/>
    <w:rsid w:val="007F37C8"/>
    <w:rsid w:val="008014A3"/>
    <w:rsid w:val="008337F9"/>
    <w:rsid w:val="00874756"/>
    <w:rsid w:val="00894472"/>
    <w:rsid w:val="0089507D"/>
    <w:rsid w:val="008F5F9A"/>
    <w:rsid w:val="00900445"/>
    <w:rsid w:val="00915264"/>
    <w:rsid w:val="00996E12"/>
    <w:rsid w:val="009F4B59"/>
    <w:rsid w:val="00A068F6"/>
    <w:rsid w:val="00A64844"/>
    <w:rsid w:val="00A9558E"/>
    <w:rsid w:val="00AA231E"/>
    <w:rsid w:val="00AB2AB9"/>
    <w:rsid w:val="00AE088F"/>
    <w:rsid w:val="00B60A79"/>
    <w:rsid w:val="00B6461D"/>
    <w:rsid w:val="00B94A92"/>
    <w:rsid w:val="00B95BF9"/>
    <w:rsid w:val="00B97DBD"/>
    <w:rsid w:val="00BB2B39"/>
    <w:rsid w:val="00C274B8"/>
    <w:rsid w:val="00C35784"/>
    <w:rsid w:val="00C876DC"/>
    <w:rsid w:val="00CE50B6"/>
    <w:rsid w:val="00D10846"/>
    <w:rsid w:val="00D3231B"/>
    <w:rsid w:val="00D80F3D"/>
    <w:rsid w:val="00DD58AE"/>
    <w:rsid w:val="00DD65A9"/>
    <w:rsid w:val="00DF7BD2"/>
    <w:rsid w:val="00E0284D"/>
    <w:rsid w:val="00E2190F"/>
    <w:rsid w:val="00E40DE4"/>
    <w:rsid w:val="00E56AB4"/>
    <w:rsid w:val="00EC6C41"/>
    <w:rsid w:val="00EE497D"/>
    <w:rsid w:val="00F03360"/>
    <w:rsid w:val="00F43F00"/>
    <w:rsid w:val="00F5260E"/>
    <w:rsid w:val="00F77041"/>
    <w:rsid w:val="00F9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4">
    <w:name w:val="Medium Shading 1 Accent 4"/>
    <w:basedOn w:val="Tablanormal"/>
    <w:uiPriority w:val="63"/>
    <w:rsid w:val="00F033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F033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4D75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14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822"/>
  </w:style>
  <w:style w:type="paragraph" w:styleId="Piedepgina">
    <w:name w:val="footer"/>
    <w:basedOn w:val="Normal"/>
    <w:link w:val="PiedepginaCar"/>
    <w:uiPriority w:val="99"/>
    <w:semiHidden/>
    <w:unhideWhenUsed/>
    <w:rsid w:val="00314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4822"/>
  </w:style>
  <w:style w:type="paragraph" w:styleId="NormalWeb">
    <w:name w:val="Normal (Web)"/>
    <w:basedOn w:val="Normal"/>
    <w:uiPriority w:val="99"/>
    <w:unhideWhenUsed/>
    <w:rsid w:val="0031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31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0512-1017-4CDA-8055-886C7FB7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Marissol</cp:lastModifiedBy>
  <cp:revision>53</cp:revision>
  <dcterms:created xsi:type="dcterms:W3CDTF">2012-10-16T23:34:00Z</dcterms:created>
  <dcterms:modified xsi:type="dcterms:W3CDTF">2012-10-17T04:24:00Z</dcterms:modified>
</cp:coreProperties>
</file>