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23" w:rsidRDefault="000E07FB" w:rsidP="00B07474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noProof/>
          <w:sz w:val="32"/>
          <w:szCs w:val="32"/>
          <w:lang w:eastAsia="es-MX"/>
        </w:rPr>
        <w:pict>
          <v:roundrect id="_x0000_s1033" style="position:absolute;left:0;text-align:left;margin-left:463.8pt;margin-top:-32.7pt;width:215.25pt;height:80.4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31F23" w:rsidRPr="007620FA" w:rsidRDefault="00131F23">
                  <w:pPr>
                    <w:rPr>
                      <w:rFonts w:asciiTheme="majorHAnsi" w:hAnsiTheme="majorHAnsi"/>
                      <w:b/>
                    </w:rPr>
                  </w:pPr>
                  <w:r w:rsidRPr="007620FA">
                    <w:rPr>
                      <w:rFonts w:asciiTheme="majorHAnsi" w:hAnsiTheme="majorHAnsi"/>
                      <w:b/>
                    </w:rPr>
                    <w:t>Diana Carolina García Borunda</w:t>
                  </w:r>
                </w:p>
                <w:p w:rsidR="00131F23" w:rsidRPr="007620FA" w:rsidRDefault="00131F23">
                  <w:pPr>
                    <w:rPr>
                      <w:rFonts w:asciiTheme="majorHAnsi" w:hAnsiTheme="majorHAnsi"/>
                      <w:b/>
                    </w:rPr>
                  </w:pPr>
                  <w:r w:rsidRPr="007620FA">
                    <w:rPr>
                      <w:rFonts w:asciiTheme="majorHAnsi" w:hAnsiTheme="majorHAnsi"/>
                      <w:b/>
                    </w:rPr>
                    <w:t>MBE</w:t>
                  </w:r>
                </w:p>
                <w:p w:rsidR="00131F23" w:rsidRPr="007620FA" w:rsidRDefault="00131F23">
                  <w:pPr>
                    <w:rPr>
                      <w:rFonts w:asciiTheme="majorHAnsi" w:hAnsiTheme="majorHAnsi"/>
                      <w:b/>
                    </w:rPr>
                  </w:pPr>
                  <w:r w:rsidRPr="007620FA">
                    <w:rPr>
                      <w:rFonts w:asciiTheme="majorHAnsi" w:hAnsiTheme="majorHAnsi"/>
                      <w:b/>
                    </w:rPr>
                    <w:t>Hospital Fray Antonio Alcalde</w:t>
                  </w:r>
                </w:p>
              </w:txbxContent>
            </v:textbox>
          </v:roundrect>
        </w:pict>
      </w:r>
    </w:p>
    <w:p w:rsidR="00131F23" w:rsidRDefault="00BF02A7" w:rsidP="00B07474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noProof/>
          <w:sz w:val="32"/>
          <w:szCs w:val="32"/>
          <w:lang w:eastAsia="es-MX"/>
        </w:rPr>
        <w:pict>
          <v:roundrect id="_x0000_s1140" style="position:absolute;left:0;text-align:left;margin-left:-33.55pt;margin-top:16.2pt;width:93.5pt;height:31.45pt;z-index:251764736" arcsize="10923f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BF02A7" w:rsidRPr="00BF02A7" w:rsidRDefault="00BF02A7" w:rsidP="00BF02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02A7">
                    <w:rPr>
                      <w:b/>
                      <w:sz w:val="28"/>
                      <w:szCs w:val="28"/>
                    </w:rPr>
                    <w:t>SESGOS</w:t>
                  </w:r>
                </w:p>
              </w:txbxContent>
            </v:textbox>
          </v:roundrect>
        </w:pict>
      </w:r>
    </w:p>
    <w:p w:rsidR="00B07474" w:rsidRPr="00B07474" w:rsidRDefault="000E07FB" w:rsidP="00B07474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0E07FB"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-42pt;margin-top:16.05pt;width:108.6pt;height:326.6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8A0D8B" w:rsidRDefault="008A0D8B"/>
              </w:txbxContent>
            </v:textbox>
          </v:shape>
        </w:pict>
      </w:r>
      <w:r w:rsidR="007620FA">
        <w:rPr>
          <w:rFonts w:asciiTheme="majorHAnsi" w:hAnsiTheme="majorHAnsi" w:cs="Arial"/>
          <w:b/>
          <w:sz w:val="32"/>
          <w:szCs w:val="32"/>
        </w:rPr>
        <w:t>J</w:t>
      </w:r>
      <w:r w:rsidR="00B07474" w:rsidRPr="00B07474">
        <w:rPr>
          <w:rFonts w:asciiTheme="majorHAnsi" w:hAnsiTheme="majorHAnsi" w:cs="Arial"/>
          <w:b/>
          <w:sz w:val="32"/>
          <w:szCs w:val="32"/>
        </w:rPr>
        <w:t>ERAEQUIA DE ESTUDIOS ESPIDEMIOLOGICOS</w:t>
      </w:r>
    </w:p>
    <w:p w:rsidR="00CA5EA4" w:rsidRDefault="007620FA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139" style="position:absolute;margin-left:-42pt;margin-top:206.95pt;width:134.8pt;height:77.1pt;z-index:2517637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F02A7" w:rsidRDefault="00BF02A7">
                  <w:r w:rsidRPr="007620FA">
                    <w:rPr>
                      <w:b/>
                      <w:u w:val="single"/>
                    </w:rPr>
                    <w:t>Información:</w:t>
                  </w:r>
                  <w:r>
                    <w:t xml:space="preserve"> </w:t>
                  </w:r>
                  <w:r w:rsidR="007620FA">
                    <w:t>cuando la probabilidad de detectar la enfermedad es mayor de un grupo que en otro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138" style="position:absolute;margin-left:-42pt;margin-top:149.55pt;width:183.4pt;height:52.9pt;z-index:2517626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F02A7" w:rsidRPr="00BF02A7" w:rsidRDefault="00BF02A7">
                  <w:pPr>
                    <w:rPr>
                      <w:sz w:val="20"/>
                      <w:szCs w:val="20"/>
                    </w:rPr>
                  </w:pPr>
                  <w:r w:rsidRPr="007620FA">
                    <w:rPr>
                      <w:b/>
                      <w:sz w:val="20"/>
                      <w:szCs w:val="20"/>
                      <w:u w:val="single"/>
                    </w:rPr>
                    <w:t>Migración:</w:t>
                  </w:r>
                  <w:r>
                    <w:rPr>
                      <w:sz w:val="20"/>
                      <w:szCs w:val="20"/>
                    </w:rPr>
                    <w:t xml:space="preserve"> Cuando un individuo sale del estudio por diversas razones o migran de un grupo a otro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137" style="position:absolute;margin-left:-43.9pt;margin-top:77.9pt;width:194.6pt;height:65.5pt;z-index:2517616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F02A7" w:rsidRPr="00BF02A7" w:rsidRDefault="00BF02A7">
                  <w:pPr>
                    <w:rPr>
                      <w:sz w:val="20"/>
                      <w:szCs w:val="20"/>
                    </w:rPr>
                  </w:pPr>
                  <w:r w:rsidRPr="007620FA">
                    <w:rPr>
                      <w:b/>
                      <w:sz w:val="20"/>
                      <w:szCs w:val="20"/>
                      <w:u w:val="single"/>
                    </w:rPr>
                    <w:t>Sobrevivencia:</w:t>
                  </w:r>
                  <w:r>
                    <w:rPr>
                      <w:sz w:val="20"/>
                      <w:szCs w:val="20"/>
                    </w:rPr>
                    <w:t xml:space="preserve"> los px que sobreviven son seleccionados para el estudio, por lo que el pronóstico no representa la historia natural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136" style="position:absolute;margin-left:-39.15pt;margin-top:5pt;width:187pt;height:68.3pt;z-index:2517606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F02A7" w:rsidRDefault="00BF02A7">
                  <w:r w:rsidRPr="007620FA">
                    <w:rPr>
                      <w:b/>
                      <w:sz w:val="20"/>
                      <w:szCs w:val="20"/>
                      <w:u w:val="single"/>
                    </w:rPr>
                    <w:t>Sensibilidad:</w:t>
                  </w:r>
                  <w:r w:rsidRPr="00BF02A7">
                    <w:rPr>
                      <w:sz w:val="20"/>
                      <w:szCs w:val="20"/>
                    </w:rPr>
                    <w:t xml:space="preserve"> Hay un desequilibrio de factores que influencian el desarrollo de le enfermedad en los grupos</w:t>
                  </w:r>
                  <w:r>
                    <w:t xml:space="preserve"> que están comparando</w:t>
                  </w:r>
                </w:p>
              </w:txbxContent>
            </v:textbox>
          </v:roundrect>
        </w:pict>
      </w:r>
      <w:r w:rsidR="000E07FB" w:rsidRPr="000E07FB"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029" style="position:absolute;margin-left:526pt;margin-top:231.65pt;width:114.05pt;height:38.3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A0D8B" w:rsidRPr="008A0D8B" w:rsidRDefault="008A0D8B" w:rsidP="008A0D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D8B">
                    <w:rPr>
                      <w:b/>
                      <w:sz w:val="32"/>
                      <w:szCs w:val="32"/>
                    </w:rPr>
                    <w:t>DESCRIPTIVOS</w:t>
                  </w:r>
                </w:p>
              </w:txbxContent>
            </v:textbox>
          </v:roundrect>
        </w:pict>
      </w:r>
      <w:r w:rsidR="000E07FB" w:rsidRPr="000E07FB"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92.6pt;margin-top:198.9pt;width:24.3pt;height:112.25pt;z-index:251659264" fillcolor="#8064a2 [3207]" strokecolor="#5f497a [2407]" strokeweight="3pt">
            <v:shadow on="t" type="perspective" color="#3f3151 [1607]" opacity=".5" offset="1pt" offset2="-1pt"/>
          </v:shape>
        </w:pict>
      </w:r>
      <w:r w:rsidR="000E07FB" w:rsidRPr="000E07FB"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roundrect id="_x0000_s1028" style="position:absolute;margin-left:463.8pt;margin-top:80.6pt;width:141.2pt;height:37.4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A0D8B" w:rsidRPr="008A0D8B" w:rsidRDefault="008A0D8B" w:rsidP="008A0D8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A0D8B">
                    <w:rPr>
                      <w:b/>
                      <w:sz w:val="40"/>
                      <w:szCs w:val="40"/>
                    </w:rPr>
                    <w:t>ANALITICOS</w:t>
                  </w:r>
                </w:p>
              </w:txbxContent>
            </v:textbox>
          </v:roundrect>
        </w:pict>
      </w:r>
      <w:r w:rsidR="000E07FB" w:rsidRPr="000E07FB">
        <w:rPr>
          <w:rFonts w:ascii="Arial" w:hAnsi="Arial" w:cs="Arial"/>
          <w:noProof/>
          <w:color w:val="FF3399"/>
          <w:sz w:val="24"/>
          <w:szCs w:val="24"/>
          <w:lang w:eastAsia="es-MX"/>
        </w:rPr>
        <w:pict>
          <v:shape id="_x0000_s1026" type="#_x0000_t88" style="position:absolute;margin-left:407.75pt;margin-top:9.7pt;width:36.45pt;height:183.9pt;z-index:251658240" fillcolor="#8064a2 [3207]" strokecolor="#5f497a [2407]" strokeweight="3pt">
            <v:shadow on="t" type="perspective" color="#3f3151 [1607]" opacity=".5" offset="1pt" offset2="-1pt"/>
          </v:shape>
        </w:pict>
      </w:r>
      <w:r w:rsidR="00BF02A7">
        <w:rPr>
          <w:noProof/>
          <w:lang w:eastAsia="es-MX"/>
        </w:rPr>
        <w:drawing>
          <wp:inline distT="0" distB="0" distL="0" distR="0">
            <wp:extent cx="579120" cy="24545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4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EA4" w:rsidRPr="00B07474">
        <w:rPr>
          <w:rFonts w:ascii="Arial" w:hAnsi="Arial" w:cs="Arial"/>
          <w:noProof/>
          <w:color w:val="FF3399"/>
          <w:sz w:val="24"/>
          <w:szCs w:val="24"/>
          <w:lang w:eastAsia="es-MX"/>
        </w:rPr>
        <w:drawing>
          <wp:inline distT="0" distB="0" distL="0" distR="0">
            <wp:extent cx="6233152" cy="3972774"/>
            <wp:effectExtent l="57150" t="19050" r="34298" b="27726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A0D8B" w:rsidRDefault="008A0D8B" w:rsidP="00CA5EA4">
      <w:pPr>
        <w:rPr>
          <w:rFonts w:ascii="Arial" w:hAnsi="Arial" w:cs="Arial"/>
          <w:sz w:val="24"/>
          <w:szCs w:val="24"/>
        </w:rPr>
      </w:pPr>
    </w:p>
    <w:p w:rsidR="004E5E3C" w:rsidRDefault="000E07FB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1.3pt;margin-top:18.35pt;width:0;height:14.15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32" style="position:absolute;margin-left:530.2pt;margin-top:18.4pt;width:0;height:14.1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3" type="#_x0000_t32" style="position:absolute;margin-left:161.3pt;margin-top:18.45pt;width:368.9pt;height:0;z-index:251674624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5" type="#_x0000_t32" style="position:absolute;margin-left:317.2pt;margin-top:3.65pt;width:0;height:14.95pt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34" style="position:absolute;margin-left:145.15pt;margin-top:-19.6pt;width:346.9pt;height:24.3pt;z-index:2516654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9A1345" w:rsidRPr="001A1EF4" w:rsidRDefault="009A1345" w:rsidP="009A134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A1EF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ESTUDIOS EPIDEMIOLOGICOS</w:t>
                  </w:r>
                </w:p>
              </w:txbxContent>
            </v:textbox>
          </v:roundrect>
        </w:pict>
      </w:r>
    </w:p>
    <w:p w:rsidR="004E5E3C" w:rsidRDefault="000E07FB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1" type="#_x0000_t32" style="position:absolute;margin-left:159.4pt;margin-top:24.2pt;width:0;height:12.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44" style="position:absolute;margin-left:82.45pt;margin-top:6.55pt;width:146.65pt;height:18.1pt;z-index:2516756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4">
              <w:txbxContent>
                <w:p w:rsidR="00333B7A" w:rsidRPr="00402DEC" w:rsidRDefault="00333B7A" w:rsidP="00333B7A">
                  <w:pPr>
                    <w:jc w:val="center"/>
                    <w:rPr>
                      <w:rFonts w:asciiTheme="majorHAnsi" w:hAnsiTheme="majorHAnsi"/>
                    </w:rPr>
                  </w:pPr>
                  <w:r w:rsidRPr="00402DEC">
                    <w:rPr>
                      <w:rFonts w:asciiTheme="majorHAnsi" w:hAnsiTheme="majorHAnsi"/>
                    </w:rPr>
                    <w:t>LONGITUDINALES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45" style="position:absolute;margin-left:466.75pt;margin-top:7.65pt;width:125.3pt;height:50.7pt;z-index:2516766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5">
              <w:txbxContent>
                <w:p w:rsidR="00333B7A" w:rsidRDefault="00333B7A" w:rsidP="00333B7A">
                  <w:pPr>
                    <w:jc w:val="center"/>
                  </w:pPr>
                  <w:r>
                    <w:t>TRANSVERSALES</w:t>
                  </w:r>
                </w:p>
                <w:p w:rsidR="00333B7A" w:rsidRDefault="00333B7A" w:rsidP="00333B7A">
                  <w:pPr>
                    <w:jc w:val="center"/>
                  </w:pPr>
                  <w:r>
                    <w:t>(Prevalencia)</w:t>
                  </w:r>
                </w:p>
              </w:txbxContent>
            </v:textbox>
          </v:roundrect>
        </w:pict>
      </w:r>
    </w:p>
    <w:p w:rsidR="008A0D8B" w:rsidRDefault="000E07FB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76" style="position:absolute;margin-left:-2.5pt;margin-top:595.9pt;width:161.9pt;height:86.95pt;z-index:251708416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75" style="position:absolute;margin-left:578.1pt;margin-top:99.85pt;width:111.1pt;height:166.35pt;z-index:2517073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5">
              <w:txbxContent>
                <w:p w:rsidR="00C43B77" w:rsidRPr="00513BC4" w:rsidRDefault="00C43B77" w:rsidP="00C43B77">
                  <w:pPr>
                    <w:jc w:val="center"/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Estudios de casos</w:t>
                  </w:r>
                </w:p>
                <w:p w:rsidR="004E5E3C" w:rsidRDefault="004E5E3C" w:rsidP="00C43B77">
                  <w:pPr>
                    <w:jc w:val="center"/>
                  </w:pPr>
                  <w:r>
                    <w:t>(Descripción detallada de un paciente o de un grupo pequeño de pacientes que tiene la enfermedad concreta)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74" style="position:absolute;margin-left:437.25pt;margin-top:100.25pt;width:122.35pt;height:201.5pt;z-index:25170636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4">
              <w:txbxContent>
                <w:p w:rsidR="00C43B77" w:rsidRPr="00513BC4" w:rsidRDefault="00C43B77" w:rsidP="00C43B77">
                  <w:pPr>
                    <w:jc w:val="center"/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 xml:space="preserve">Estudios </w:t>
                  </w:r>
                  <w:r w:rsidR="004E5E3C" w:rsidRPr="00513BC4">
                    <w:rPr>
                      <w:b/>
                      <w:u w:val="single"/>
                    </w:rPr>
                    <w:t>Correlaciónales</w:t>
                  </w:r>
                  <w:r w:rsidRPr="00513BC4">
                    <w:rPr>
                      <w:b/>
                      <w:u w:val="single"/>
                    </w:rPr>
                    <w:t xml:space="preserve"> o Ecológicos</w:t>
                  </w:r>
                </w:p>
                <w:p w:rsidR="004E5E3C" w:rsidRDefault="004E5E3C" w:rsidP="00C43B77">
                  <w:pPr>
                    <w:jc w:val="center"/>
                  </w:pPr>
                  <w:r>
                    <w:t>(Usan la información de una población entera para comparar la frecuencia de enfermedades entre diferentes grupos en el mismo periodo)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5" type="#_x0000_t87" style="position:absolute;margin-left:228.05pt;margin-top:129.2pt;width:20.6pt;height:309.05pt;z-index:251697152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9" style="position:absolute;margin-left:252.45pt;margin-top:378.3pt;width:262.95pt;height:69.3pt;z-index:2517012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9">
              <w:txbxContent>
                <w:p w:rsidR="00402DEC" w:rsidRPr="00513BC4" w:rsidRDefault="00402DEC">
                  <w:pPr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Ensayo Clínico Cruzado</w:t>
                  </w:r>
                </w:p>
                <w:p w:rsidR="00C43B77" w:rsidRDefault="00C43B77">
                  <w:r>
                    <w:t>(Los grupos reciben ambos tratamiento secuencialmente pero de una forma aleatorizada)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8" style="position:absolute;margin-left:250pt;margin-top:290.45pt;width:167.25pt;height:84.25pt;z-index:25170022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8">
              <w:txbxContent>
                <w:p w:rsidR="00402DEC" w:rsidRPr="00513BC4" w:rsidRDefault="00402DEC">
                  <w:pPr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Ensayo Clínico Factorial</w:t>
                  </w:r>
                </w:p>
                <w:p w:rsidR="00C43B77" w:rsidRDefault="00C43B77">
                  <w:r>
                    <w:t>(Los grupos son aleatorizados para recibir dos o más tratamientos)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7" style="position:absolute;margin-left:250.95pt;margin-top:224.05pt;width:166.3pt;height:64.5pt;z-index:2516992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7">
              <w:txbxContent>
                <w:p w:rsidR="00402DEC" w:rsidRPr="00513BC4" w:rsidRDefault="00402DEC">
                  <w:pPr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Ensayo Clínico Paralelo</w:t>
                  </w:r>
                </w:p>
                <w:p w:rsidR="00C43B77" w:rsidRDefault="00C43B77">
                  <w:r>
                    <w:t xml:space="preserve">(Los pacientes reciben de forma </w:t>
                  </w:r>
                  <w:proofErr w:type="spellStart"/>
                  <w:r>
                    <w:t>aleatorizada</w:t>
                  </w:r>
                  <w:proofErr w:type="spellEnd"/>
                  <w:r>
                    <w:t xml:space="preserve"> los tratamientos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6" style="position:absolute;margin-left:248.65pt;margin-top:134.8pt;width:169.55pt;height:87.6pt;z-index:25169817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6">
              <w:txbxContent>
                <w:p w:rsidR="00402DEC" w:rsidRPr="00513BC4" w:rsidRDefault="00402DEC">
                  <w:pPr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Ensayo Clínico Histórico</w:t>
                  </w:r>
                </w:p>
                <w:p w:rsidR="00C43B77" w:rsidRDefault="00C43B77">
                  <w:r>
                    <w:t>(Grupo experimental que se compara con un grupo histórico que no recibe tratamiento)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2" type="#_x0000_t32" style="position:absolute;margin-left:640.15pt;margin-top:82.6pt;width:0;height:17.65pt;z-index:2517043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3" type="#_x0000_t32" style="position:absolute;margin-left:448.2pt;margin-top:82.2pt;width:0;height:17.65pt;z-index:25170534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1" type="#_x0000_t32" style="position:absolute;margin-left:448.2pt;margin-top:82.65pt;width:190.75pt;height:0;z-index:25170329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0" type="#_x0000_t32" style="position:absolute;margin-left:537.9pt;margin-top:63.95pt;width:0;height:17.65pt;z-index:2517022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39" style="position:absolute;margin-left:474.5pt;margin-top:44.85pt;width:126.25pt;height:19.1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9">
              <w:txbxContent>
                <w:p w:rsidR="009A1345" w:rsidRPr="00402DEC" w:rsidRDefault="009A1345" w:rsidP="009A1345">
                  <w:pPr>
                    <w:jc w:val="center"/>
                    <w:rPr>
                      <w:rFonts w:asciiTheme="majorHAnsi" w:hAnsiTheme="majorHAnsi"/>
                    </w:rPr>
                  </w:pPr>
                  <w:r w:rsidRPr="00402DEC">
                    <w:rPr>
                      <w:rFonts w:asciiTheme="majorHAnsi" w:hAnsiTheme="majorHAnsi"/>
                    </w:rPr>
                    <w:t>DESCRIPTIVOS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4" type="#_x0000_t32" style="position:absolute;margin-left:292.05pt;margin-top:120.95pt;width:0;height:12.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3" style="position:absolute;margin-left:238.5pt;margin-top:94.15pt;width:107.5pt;height:26.8pt;z-index:2516951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3">
              <w:txbxContent>
                <w:p w:rsidR="0020557C" w:rsidRPr="00513BC4" w:rsidRDefault="0020557C">
                  <w:pPr>
                    <w:rPr>
                      <w:b/>
                    </w:rPr>
                  </w:pPr>
                  <w:r w:rsidRPr="00513BC4">
                    <w:rPr>
                      <w:b/>
                    </w:rPr>
                    <w:t>ENSAYO CLINICO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2" type="#_x0000_t32" style="position:absolute;margin-left:292.05pt;margin-top:81.6pt;width:0;height:12.5pt;z-index:2516940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51" style="position:absolute;margin-left:239.85pt;margin-top:59.15pt;width:102.85pt;height:22.55pt;z-index:25168281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1">
              <w:txbxContent>
                <w:p w:rsidR="00333B7A" w:rsidRDefault="00333B7A">
                  <w:r>
                    <w:t>EXPERIMENTALES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1" style="position:absolute;margin-left:102.65pt;margin-top:192.3pt;width:103.75pt;height:27.85pt;z-index:2516930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1">
              <w:txbxContent>
                <w:p w:rsidR="0020557C" w:rsidRDefault="00402DEC" w:rsidP="00402DEC">
                  <w:pPr>
                    <w:jc w:val="center"/>
                  </w:pPr>
                  <w:r>
                    <w:t>Retrospectivo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9" type="#_x0000_t32" style="position:absolute;margin-left:154.1pt;margin-top:177.9pt;width:0;height:12.5pt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57" style="position:absolute;margin-left:90.2pt;margin-top:108.1pt;width:129.75pt;height:68.85pt;z-index:2516889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7">
              <w:txbxContent>
                <w:p w:rsidR="001A1EF4" w:rsidRPr="00513BC4" w:rsidRDefault="001A1EF4" w:rsidP="001A1EF4">
                  <w:pPr>
                    <w:jc w:val="center"/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CASOS Y CONTROLES</w:t>
                  </w:r>
                </w:p>
                <w:p w:rsidR="001A1EF4" w:rsidRDefault="001A1EF4" w:rsidP="001A1EF4">
                  <w:pPr>
                    <w:jc w:val="center"/>
                  </w:pPr>
                  <w:r>
                    <w:t>(Sujetos sanos y enfermos)</w:t>
                  </w:r>
                </w:p>
                <w:p w:rsidR="001A1EF4" w:rsidRDefault="001A1EF4" w:rsidP="001A1EF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60" style="position:absolute;margin-left:-34.75pt;margin-top:183pt;width:110.55pt;height:39.4pt;z-index:2516920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0">
              <w:txbxContent>
                <w:p w:rsidR="0020557C" w:rsidRDefault="00402DEC" w:rsidP="00402DEC">
                  <w:pPr>
                    <w:jc w:val="center"/>
                  </w:pPr>
                  <w:r>
                    <w:t>Prospectico / Retrospectivo</w:t>
                  </w:r>
                </w:p>
                <w:p w:rsidR="0020557C" w:rsidRDefault="0020557C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4" type="#_x0000_t32" style="position:absolute;margin-left:20.8pt;margin-top:170.5pt;width:0;height:12.5pt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56" style="position:absolute;margin-left:-43.75pt;margin-top:106.55pt;width:126.2pt;height:64.7pt;z-index:2516879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6">
              <w:txbxContent>
                <w:p w:rsidR="001A1EF4" w:rsidRPr="00513BC4" w:rsidRDefault="001A1EF4" w:rsidP="001A1EF4">
                  <w:pPr>
                    <w:jc w:val="center"/>
                    <w:rPr>
                      <w:b/>
                      <w:u w:val="single"/>
                    </w:rPr>
                  </w:pPr>
                  <w:r w:rsidRPr="00513BC4">
                    <w:rPr>
                      <w:b/>
                      <w:u w:val="single"/>
                    </w:rPr>
                    <w:t>COHORTE</w:t>
                  </w:r>
                </w:p>
                <w:p w:rsidR="001A1EF4" w:rsidRDefault="001A1EF4" w:rsidP="001A1EF4">
                  <w:pPr>
                    <w:jc w:val="center"/>
                  </w:pPr>
                  <w:r>
                    <w:t>(Sujetos sin enfermedad)</w:t>
                  </w:r>
                </w:p>
                <w:p w:rsidR="001A1EF4" w:rsidRDefault="001A1EF4" w:rsidP="001A1EF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8" type="#_x0000_t32" style="position:absolute;margin-left:148.4pt;margin-top:95.1pt;width:0;height:12.5pt;z-index:2516899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2" type="#_x0000_t32" style="position:absolute;margin-left:-28.1pt;margin-top:94.05pt;width:0;height:12.5pt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5" type="#_x0000_t32" style="position:absolute;margin-left:-28.25pt;margin-top:94.1pt;width:176.65pt;height:.05pt;z-index:25168691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3" type="#_x0000_t32" style="position:absolute;margin-left:55.7pt;margin-top:82.55pt;width:0;height:12.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50" style="position:absolute;margin-left:-.6pt;margin-top:58.55pt;width:111.3pt;height:24.1pt;z-index:2516817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0">
              <w:txbxContent>
                <w:p w:rsidR="00333B7A" w:rsidRDefault="00333B7A">
                  <w:r>
                    <w:t>OBSERVACIONALES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8" type="#_x0000_t32" style="position:absolute;margin-left:292.05pt;margin-top:46.55pt;width:0;height:12.5pt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9" type="#_x0000_t32" style="position:absolute;margin-left:56.15pt;margin-top:45.6pt;width:0;height:12.5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7" type="#_x0000_t32" style="position:absolute;margin-left:57pt;margin-top:45.6pt;width:235.05pt;height:0;z-index:251678720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6" type="#_x0000_t32" style="position:absolute;margin-left:158pt;margin-top:33.1pt;width:0;height:12.5pt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40" style="position:absolute;margin-left:83.05pt;margin-top:10.8pt;width:151.4pt;height:22.65pt;z-index:2516715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:rsidR="009A1345" w:rsidRPr="00402DEC" w:rsidRDefault="009A1345" w:rsidP="009A1345">
                  <w:pPr>
                    <w:jc w:val="center"/>
                    <w:rPr>
                      <w:rFonts w:asciiTheme="majorHAnsi" w:hAnsiTheme="majorHAnsi"/>
                    </w:rPr>
                  </w:pPr>
                  <w:r w:rsidRPr="00402DEC">
                    <w:rPr>
                      <w:rFonts w:asciiTheme="majorHAnsi" w:hAnsiTheme="majorHAnsi"/>
                    </w:rPr>
                    <w:t>ANALITICOS</w:t>
                  </w:r>
                </w:p>
                <w:p w:rsidR="00BD4880" w:rsidRPr="009A1345" w:rsidRDefault="00BD4880" w:rsidP="009A1345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2" type="#_x0000_t32" style="position:absolute;margin-left:537.9pt;margin-top:31.2pt;width:0;height:12.5pt;z-index:251673600" o:connectortype="straight">
            <v:stroke endarrow="block"/>
          </v:shape>
        </w:pict>
      </w:r>
      <w:r w:rsidR="004E5E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4E5E3C" w:rsidP="00CA5EA4">
      <w:pPr>
        <w:rPr>
          <w:rFonts w:ascii="Arial" w:hAnsi="Arial" w:cs="Arial"/>
          <w:sz w:val="24"/>
          <w:szCs w:val="24"/>
        </w:rPr>
      </w:pPr>
    </w:p>
    <w:p w:rsidR="004E5E3C" w:rsidRDefault="000E07FB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 id="_x0000_s1108" type="#_x0000_t32" style="position:absolute;margin-left:187.25pt;margin-top:22.6pt;width:345.8pt;height:0;z-index:2517350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109" type="#_x0000_t32" style="position:absolute;margin-left:443.05pt;margin-top:20.7pt;width:0;height:25.25pt;z-index:2517360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107" type="#_x0000_t32" style="position:absolute;margin-left:187.25pt;margin-top:22.6pt;width:0;height:18.75pt;flip:y;z-index:2517340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88" type="#_x0000_t32" style="position:absolute;margin-left:86.25pt;margin-top:22.6pt;width:0;height:18.7pt;z-index:2517186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8" type="#_x0000_t32" style="position:absolute;margin-left:91.8pt;margin-top:-21.35pt;width:509.25pt;height:.05pt;z-index:251710464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91" style="position:absolute;margin-left:10.35pt;margin-top:-2.65pt;width:161.65pt;height:25.25pt;z-index:2517217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D0DD1" w:rsidRDefault="00BD0DD1" w:rsidP="00BD0DD1">
                  <w:pPr>
                    <w:jc w:val="center"/>
                  </w:pPr>
                  <w:r>
                    <w:t>MEDIDAS DE ASOCIACION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90" type="#_x0000_t32" style="position:absolute;margin-left:91.8pt;margin-top:-21.35pt;width:0;height:18.7pt;z-index:2517207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84" style="position:absolute;margin-left:533.05pt;margin-top:3.9pt;width:124.35pt;height:24.2pt;z-index:2517166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D0DD1" w:rsidRDefault="00BD0DD1" w:rsidP="00BD0DD1">
                  <w:pPr>
                    <w:jc w:val="center"/>
                  </w:pPr>
                  <w:r>
                    <w:t>ENSAYO CLINICO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80" type="#_x0000_t32" style="position:absolute;margin-left:601.05pt;margin-top:-21.45pt;width:0;height:25.25pt;z-index:2517125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77" type="#_x0000_t32" style="position:absolute;margin-left:296.65pt;margin-top:-46.7pt;width:0;height:25.25pt;z-index:251709440" o:connectortype="straight">
            <v:stroke endarrow="block"/>
          </v:shape>
        </w:pict>
      </w:r>
    </w:p>
    <w:p w:rsidR="004E5E3C" w:rsidRPr="00CA5EA4" w:rsidRDefault="00513BC4" w:rsidP="00CA5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133" style="position:absolute;margin-left:511.55pt;margin-top:204.2pt;width:83.75pt;height:80.15pt;z-index:2517585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712A9" w:rsidRDefault="007712A9">
                  <w:r>
                    <w:t xml:space="preserve">1° Opción: Establecer un </w:t>
                  </w:r>
                  <w:r w:rsidRPr="00513BC4">
                    <w:rPr>
                      <w:b/>
                    </w:rPr>
                    <w:t>Nivel de corte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127" type="#_x0000_t32" style="position:absolute;margin-left:418.2pt;margin-top:447.35pt;width:0;height:15.8pt;z-index:2517524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125" type="#_x0000_t32" style="position:absolute;margin-left:375.2pt;margin-top:396pt;width:0;height:9.45pt;flip:y;z-index:251751424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34" style="position:absolute;margin-left:601.05pt;margin-top:204.2pt;width:91.65pt;height:120.65pt;z-index:25175961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712A9" w:rsidRPr="00513BC4" w:rsidRDefault="007712A9">
                  <w:pPr>
                    <w:rPr>
                      <w:b/>
                    </w:rPr>
                  </w:pPr>
                  <w:r>
                    <w:t xml:space="preserve">2° Opción: Calcular la </w:t>
                  </w:r>
                  <w:r w:rsidRPr="00513BC4">
                    <w:rPr>
                      <w:b/>
                      <w:u w:val="single"/>
                    </w:rPr>
                    <w:t>Razón de verosimilitud:</w:t>
                  </w:r>
                  <w:r>
                    <w:t xml:space="preserve"> </w:t>
                  </w:r>
                  <w:r w:rsidRPr="00513BC4">
                    <w:rPr>
                      <w:b/>
                    </w:rPr>
                    <w:t>Sensibilidad (1- especificidad)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32" type="#_x0000_t32" style="position:absolute;margin-left:685.45pt;margin-top:192.05pt;width:0;height:12.15pt;z-index:251757568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31" type="#_x0000_t32" style="position:absolute;margin-left:524.8pt;margin-top:192.05pt;width:0;height:12.15pt;z-index:251756544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30" type="#_x0000_t32" style="position:absolute;margin-left:524.8pt;margin-top:191.25pt;width:160.65pt;height:0;z-index:251755520" o:connectortype="straight"/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29" type="#_x0000_t32" style="position:absolute;margin-left:608.95pt;margin-top:166.8pt;width:0;height:25.25pt;z-index:251754496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24" style="position:absolute;margin-left:305.1pt;margin-top:414.5pt;width:270.25pt;height:55.2pt;z-index:2517504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44EE8" w:rsidRDefault="00644EE8" w:rsidP="00644EE8">
                  <w:r w:rsidRPr="00513BC4">
                    <w:rPr>
                      <w:b/>
                      <w:u w:val="single"/>
                    </w:rPr>
                    <w:t>Valor Predictivo Negativo</w:t>
                  </w:r>
                  <w:r>
                    <w:t xml:space="preserve">: Porcentaje de sujetos que no tiene la enfermedad si la prueba diagnóstica es negativa. Prevalencia  </w:t>
                  </w:r>
                  <w:r w:rsidR="007712A9">
                    <w:t xml:space="preserve">  (</w:t>
                  </w:r>
                  <w:r w:rsidR="007712A9" w:rsidRPr="00513BC4">
                    <w:rPr>
                      <w:b/>
                    </w:rPr>
                    <w:t>d/c+b</w:t>
                  </w:r>
                  <w:r w:rsidRPr="00513BC4">
                    <w:rPr>
                      <w:b/>
                    </w:rPr>
                    <w:t>)</w:t>
                  </w:r>
                </w:p>
                <w:p w:rsidR="00644EE8" w:rsidRDefault="00644EE8" w:rsidP="00644EE8"/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21" style="position:absolute;margin-left:309.25pt;margin-top:354.05pt;width:270.25pt;height:55.2pt;z-index:2517483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44EE8" w:rsidRDefault="00644EE8">
                  <w:r w:rsidRPr="00513BC4">
                    <w:rPr>
                      <w:b/>
                      <w:u w:val="single"/>
                    </w:rPr>
                    <w:t>Valor Predictivo Positivo:</w:t>
                  </w:r>
                  <w:r>
                    <w:t xml:space="preserve"> Porcentaje de sujetos que tiene la enfermedad si la prueba diagnóstica es positiva. Prevalencia    (a/a+b)</w:t>
                  </w:r>
                </w:p>
                <w:p w:rsidR="00644EE8" w:rsidRDefault="00644EE8"/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20" style="position:absolute;margin-left:308.7pt;margin-top:297.45pt;width:195.85pt;height:53.75pt;z-index:2517473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44EE8" w:rsidRDefault="00644EE8">
                  <w:r w:rsidRPr="00513BC4">
                    <w:rPr>
                      <w:b/>
                      <w:u w:val="single"/>
                    </w:rPr>
                    <w:t xml:space="preserve">Especificidad: </w:t>
                  </w:r>
                  <w:r>
                    <w:t xml:space="preserve">Porcentaje de pacientes sanos que salen negativos a la prueba </w:t>
                  </w:r>
                  <w:r w:rsidRPr="00513BC4">
                    <w:rPr>
                      <w:b/>
                    </w:rPr>
                    <w:t>(d/b+d)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19" style="position:absolute;margin-left:307.35pt;margin-top:238.25pt;width:199.1pt;height:54.1pt;z-index:2517463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194F" w:rsidRPr="00513BC4" w:rsidRDefault="0081194F">
                  <w:pPr>
                    <w:rPr>
                      <w:b/>
                    </w:rPr>
                  </w:pPr>
                  <w:r w:rsidRPr="00513BC4">
                    <w:rPr>
                      <w:b/>
                      <w:u w:val="single"/>
                    </w:rPr>
                    <w:t>Sensibilidad</w:t>
                  </w:r>
                  <w:r>
                    <w:t xml:space="preserve">: Porcentaje de pacientes enfermos que salen positivos a la prueba </w:t>
                  </w:r>
                  <w:r w:rsidRPr="00513BC4">
                    <w:rPr>
                      <w:b/>
                    </w:rPr>
                    <w:t>(a/a+c)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18" style="position:absolute;margin-left:307.5pt;margin-top:194.1pt;width:201.8pt;height:40.55pt;z-index:2517452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194F" w:rsidRDefault="0081194F">
                  <w:r w:rsidRPr="00513BC4">
                    <w:rPr>
                      <w:b/>
                      <w:u w:val="single"/>
                    </w:rPr>
                    <w:t>Exactitud</w:t>
                  </w:r>
                  <w:r>
                    <w:t xml:space="preserve">: Porcentaje de aciertos con el estándar de oro </w:t>
                  </w:r>
                  <w:r w:rsidRPr="00513BC4">
                    <w:rPr>
                      <w:b/>
                    </w:rPr>
                    <w:t>(a+d/a+b+c+d)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7" type="#_x0000_t87" style="position:absolute;margin-left:284.05pt;margin-top:219.2pt;width:19.65pt;height:228.15pt;z-index:251744256"/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28" style="position:absolute;margin-left:511.55pt;margin-top:108.85pt;width:173.9pt;height:57.95pt;z-index:2517534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712A9" w:rsidRDefault="007712A9" w:rsidP="007712A9">
                  <w:pPr>
                    <w:jc w:val="center"/>
                  </w:pPr>
                  <w:r>
                    <w:t>INTERPRETACION DE PRUEBAS DIAGNOSTICAS CON RESULTADO  NO DICÓTOMICO (Cuantitavo)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6" type="#_x0000_t32" style="position:absolute;margin-left:396.7pt;margin-top:181.8pt;width:0;height:12.15pt;z-index:251743232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15" style="position:absolute;margin-left:311.6pt;margin-top:108.85pt;width:173.9pt;height:72.95pt;z-index:2517422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194F" w:rsidRDefault="0081194F" w:rsidP="0081194F">
                  <w:pPr>
                    <w:jc w:val="center"/>
                  </w:pPr>
                  <w:r>
                    <w:t>INTERPRETACION DE PRUEBAS DIAGNOSTICAS CON RESULTADO DICÓTOMICO (Positivo – Negativo)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23" type="#_x0000_t32" style="position:absolute;margin-left:405pt;margin-top:414.5pt;width:0;height:14.7pt;flip:y;z-index:251749376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0" type="#_x0000_t32" style="position:absolute;margin-left:353.25pt;margin-top:83.6pt;width:255.7pt;height:.05pt;z-index:251737088" o:connectortype="straight"/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2" type="#_x0000_t32" style="position:absolute;margin-left:353.25pt;margin-top:83.6pt;width:0;height:25.25pt;z-index:251739136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1" type="#_x0000_t32" style="position:absolute;margin-left:608.95pt;margin-top:83.6pt;width:0;height:25.25pt;z-index:251738112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114" type="#_x0000_t32" style="position:absolute;margin-left:443.65pt;margin-top:58.15pt;width:0;height:25.25pt;z-index:251741184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13" style="position:absolute;margin-left:349pt;margin-top:20.1pt;width:206.65pt;height:38.25pt;z-index:2517401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1194F" w:rsidRDefault="0081194F" w:rsidP="0081194F">
                  <w:pPr>
                    <w:jc w:val="center"/>
                  </w:pPr>
                  <w:r>
                    <w:t>INTERPRETACION DE PRUEBAS DIAGNOSTICAS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100" style="position:absolute;margin-left:151.75pt;margin-top:77.8pt;width:151.6pt;height:124.55pt;z-index:2517288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66D00" w:rsidRDefault="00C66D00" w:rsidP="00C66D00">
                  <w:pPr>
                    <w:jc w:val="center"/>
                  </w:pPr>
                  <w:r w:rsidRPr="00C66D00">
                    <w:rPr>
                      <w:b/>
                      <w:u w:val="single"/>
                    </w:rPr>
                    <w:t>Razón de momios:</w:t>
                  </w:r>
                  <w:r>
                    <w:t xml:space="preserve"> Equivalente al Riesgo relativo, es la relación o cociente de la probabilidad de que un evento ocurra entre la probabilidad de que no ocurra: </w:t>
                  </w:r>
                  <w:r w:rsidRPr="00C66D00">
                    <w:rPr>
                      <w:b/>
                    </w:rPr>
                    <w:t>Ad/</w:t>
                  </w:r>
                  <w:proofErr w:type="spellStart"/>
                  <w:r w:rsidRPr="00C66D00">
                    <w:rPr>
                      <w:b/>
                    </w:rPr>
                    <w:t>bc</w:t>
                  </w:r>
                  <w:proofErr w:type="spellEnd"/>
                </w:p>
                <w:p w:rsidR="00C66D00" w:rsidRDefault="00C66D00"/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083" style="position:absolute;margin-left:163.95pt;margin-top:34.9pt;width:124.35pt;height:24.2pt;z-index:2517155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D0DD1" w:rsidRDefault="00BD0DD1" w:rsidP="00BD0DD1">
                  <w:pPr>
                    <w:jc w:val="center"/>
                  </w:pPr>
                  <w:r>
                    <w:t>CASOS Y CONTROLES</w:t>
                  </w:r>
                </w:p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97" type="#_x0000_t87" style="position:absolute;margin-left:-37.1pt;margin-top:83.6pt;width:14.05pt;height:290.8pt;z-index:251726848"/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096" style="position:absolute;margin-left:-19.6pt;margin-top:76.95pt;width:131.1pt;height:174.85pt;z-index:25172582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00CE" w:rsidRDefault="008E00CE">
                  <w:r w:rsidRPr="00C66D00">
                    <w:rPr>
                      <w:b/>
                      <w:u w:val="single"/>
                    </w:rPr>
                    <w:t>Riesgo Relativo</w:t>
                  </w:r>
                  <w:r>
                    <w:t xml:space="preserve">: </w:t>
                  </w:r>
                  <w:r w:rsidRPr="00C66D00">
                    <w:rPr>
                      <w:b/>
                    </w:rPr>
                    <w:t>Ie / Io</w:t>
                  </w:r>
                </w:p>
                <w:p w:rsidR="008E00CE" w:rsidRDefault="008E00CE">
                  <w:r>
                    <w:t>1= No significativo</w:t>
                  </w:r>
                </w:p>
                <w:p w:rsidR="008E00CE" w:rsidRDefault="008E00CE">
                  <w:r>
                    <w:t>&gt;1= Factor de riesgo para el desarrollo de la enfermedad</w:t>
                  </w:r>
                </w:p>
                <w:p w:rsidR="008E00CE" w:rsidRDefault="008E00CE">
                  <w:r>
                    <w:t xml:space="preserve">&lt;1=  El factor de riesgo es un factor de </w:t>
                  </w:r>
                  <w:r w:rsidR="00C66D00">
                    <w:t>protección</w:t>
                  </w:r>
                </w:p>
                <w:p w:rsidR="008E00CE" w:rsidRDefault="008E00CE"/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098" style="position:absolute;margin-left:-19.55pt;margin-top:251.8pt;width:126.05pt;height:142.15pt;z-index:2517278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00CE" w:rsidRDefault="008E00CE">
                  <w:r w:rsidRPr="00C66D00">
                    <w:rPr>
                      <w:b/>
                      <w:u w:val="single"/>
                    </w:rPr>
                    <w:t>Riesgo Atribuible:</w:t>
                  </w:r>
                  <w:r>
                    <w:t xml:space="preserve"> Expresa el exceso de riesgo debido a la exposición al factor por encima del riesgo.</w:t>
                  </w:r>
                </w:p>
                <w:p w:rsidR="008E00CE" w:rsidRPr="00C66D00" w:rsidRDefault="008E00CE">
                  <w:pPr>
                    <w:rPr>
                      <w:b/>
                    </w:rPr>
                  </w:pPr>
                  <w:proofErr w:type="spellStart"/>
                  <w:r w:rsidRPr="00C66D00">
                    <w:rPr>
                      <w:b/>
                    </w:rPr>
                    <w:t>Ie</w:t>
                  </w:r>
                  <w:proofErr w:type="spellEnd"/>
                  <w:r w:rsidRPr="00C66D00">
                    <w:rPr>
                      <w:b/>
                    </w:rPr>
                    <w:t xml:space="preserve"> – Io</w:t>
                  </w:r>
                </w:p>
                <w:p w:rsidR="008E00CE" w:rsidRPr="00C66D00" w:rsidRDefault="008E00CE">
                  <w:pPr>
                    <w:rPr>
                      <w:b/>
                    </w:rPr>
                  </w:pPr>
                  <w:r w:rsidRPr="00C66D00">
                    <w:rPr>
                      <w:b/>
                    </w:rPr>
                    <w:t>RA%= (RA/</w:t>
                  </w:r>
                  <w:proofErr w:type="spellStart"/>
                  <w:proofErr w:type="gramStart"/>
                  <w:r w:rsidRPr="00C66D00">
                    <w:rPr>
                      <w:b/>
                    </w:rPr>
                    <w:t>Ie</w:t>
                  </w:r>
                  <w:proofErr w:type="spellEnd"/>
                  <w:r w:rsidRPr="00C66D00">
                    <w:rPr>
                      <w:b/>
                    </w:rPr>
                    <w:t xml:space="preserve"> )</w:t>
                  </w:r>
                  <w:proofErr w:type="gramEnd"/>
                  <w:r w:rsidRPr="00C66D00">
                    <w:rPr>
                      <w:b/>
                    </w:rPr>
                    <w:t xml:space="preserve"> x 100</w:t>
                  </w:r>
                </w:p>
                <w:p w:rsidR="008E00CE" w:rsidRDefault="008E00CE"/>
              </w:txbxContent>
            </v:textbox>
          </v:roundrect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93" type="#_x0000_t32" style="position:absolute;margin-left:225.6pt;margin-top:59.1pt;width:0;height:18.7pt;z-index:251723776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92" type="#_x0000_t32" style="position:absolute;margin-left:16.1pt;margin-top:59.1pt;width:0;height:18.7pt;z-index:251722752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81" type="#_x0000_t32" style="position:absolute;margin-left:225.6pt;margin-top:15.35pt;width:0;height:18.8pt;z-index:251713536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89" type="#_x0000_t32" style="position:absolute;margin-left:16.1pt;margin-top:15.45pt;width:209.5pt;height:.05pt;z-index:251719680" o:connectortype="straight"/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shape id="_x0000_s1087" type="#_x0000_t32" style="position:absolute;margin-left:16.1pt;margin-top:15.45pt;width:0;height:18.7pt;z-index:251717632" o:connectortype="straight">
            <v:stroke endarrow="block"/>
          </v:shape>
        </w:pict>
      </w:r>
      <w:r w:rsidR="000E07FB">
        <w:rPr>
          <w:rFonts w:ascii="Arial" w:hAnsi="Arial" w:cs="Arial"/>
          <w:noProof/>
          <w:sz w:val="24"/>
          <w:szCs w:val="24"/>
          <w:lang w:eastAsia="es-MX"/>
        </w:rPr>
        <w:pict>
          <v:roundrect id="_x0000_s1082" style="position:absolute;margin-left:-44.7pt;margin-top:34.15pt;width:124.35pt;height:24.2pt;z-index:2517145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D0DD1" w:rsidRDefault="00BD0DD1" w:rsidP="00BD0DD1">
                  <w:pPr>
                    <w:jc w:val="center"/>
                  </w:pPr>
                  <w:r>
                    <w:t>COHORTE</w:t>
                  </w:r>
                </w:p>
              </w:txbxContent>
            </v:textbox>
          </v:roundrect>
        </w:pict>
      </w:r>
      <w:r w:rsidR="004E5E3C">
        <w:rPr>
          <w:rFonts w:ascii="Arial" w:hAnsi="Arial" w:cs="Arial"/>
          <w:sz w:val="24"/>
          <w:szCs w:val="24"/>
        </w:rPr>
        <w:t xml:space="preserve">                                  </w:t>
      </w:r>
    </w:p>
    <w:sectPr w:rsidR="004E5E3C" w:rsidRPr="00CA5EA4" w:rsidSect="00131F23">
      <w:pgSz w:w="15840" w:h="12240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0" w:rsidRDefault="00383F40" w:rsidP="004E5E3C">
      <w:pPr>
        <w:spacing w:after="0" w:line="240" w:lineRule="auto"/>
      </w:pPr>
      <w:r>
        <w:separator/>
      </w:r>
    </w:p>
  </w:endnote>
  <w:endnote w:type="continuationSeparator" w:id="0">
    <w:p w:rsidR="00383F40" w:rsidRDefault="00383F40" w:rsidP="004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0" w:rsidRDefault="00383F40" w:rsidP="004E5E3C">
      <w:pPr>
        <w:spacing w:after="0" w:line="240" w:lineRule="auto"/>
      </w:pPr>
      <w:r>
        <w:separator/>
      </w:r>
    </w:p>
  </w:footnote>
  <w:footnote w:type="continuationSeparator" w:id="0">
    <w:p w:rsidR="00383F40" w:rsidRDefault="00383F40" w:rsidP="004E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A4"/>
    <w:rsid w:val="000E07FB"/>
    <w:rsid w:val="00131F23"/>
    <w:rsid w:val="001A1EF4"/>
    <w:rsid w:val="0020557C"/>
    <w:rsid w:val="00333B7A"/>
    <w:rsid w:val="00383F40"/>
    <w:rsid w:val="00402DEC"/>
    <w:rsid w:val="004E5E3C"/>
    <w:rsid w:val="00513BC4"/>
    <w:rsid w:val="006157F2"/>
    <w:rsid w:val="00644EE8"/>
    <w:rsid w:val="007620FA"/>
    <w:rsid w:val="007712A9"/>
    <w:rsid w:val="0081194F"/>
    <w:rsid w:val="008A0D8B"/>
    <w:rsid w:val="008E00CE"/>
    <w:rsid w:val="008E46C3"/>
    <w:rsid w:val="00945B28"/>
    <w:rsid w:val="009A1345"/>
    <w:rsid w:val="00B07474"/>
    <w:rsid w:val="00BD0DD1"/>
    <w:rsid w:val="00BD4880"/>
    <w:rsid w:val="00BF02A7"/>
    <w:rsid w:val="00C43B77"/>
    <w:rsid w:val="00C66D00"/>
    <w:rsid w:val="00C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7]"/>
    </o:shapedefaults>
    <o:shapelayout v:ext="edit">
      <o:idmap v:ext="edit" data="1"/>
      <o:rules v:ext="edit">
        <o:r id="V:Rule48" type="connector" idref="#_x0000_s1107"/>
        <o:r id="V:Rule49" type="connector" idref="#_x0000_s1073"/>
        <o:r id="V:Rule50" type="connector" idref="#_x0000_s1071"/>
        <o:r id="V:Rule51" type="connector" idref="#_x0000_s1108"/>
        <o:r id="V:Rule52" type="connector" idref="#_x0000_s1072"/>
        <o:r id="V:Rule53" type="connector" idref="#_x0000_s1035"/>
        <o:r id="V:Rule54" type="connector" idref="#_x0000_s1077"/>
        <o:r id="V:Rule55" type="connector" idref="#_x0000_s1038"/>
        <o:r id="V:Rule56" type="connector" idref="#_x0000_s1110"/>
        <o:r id="V:Rule57" type="connector" idref="#_x0000_s1052"/>
        <o:r id="V:Rule58" type="connector" idref="#_x0000_s1037"/>
        <o:r id="V:Rule59" type="connector" idref="#_x0000_s1111"/>
        <o:r id="V:Rule60" type="connector" idref="#_x0000_s1053"/>
        <o:r id="V:Rule61" type="connector" idref="#_x0000_s1070"/>
        <o:r id="V:Rule62" type="connector" idref="#_x0000_s1078"/>
        <o:r id="V:Rule63" type="connector" idref="#_x0000_s1109"/>
        <o:r id="V:Rule64" type="connector" idref="#_x0000_s1088"/>
        <o:r id="V:Rule65" type="connector" idref="#_x0000_s1042"/>
        <o:r id="V:Rule66" type="connector" idref="#_x0000_s1132"/>
        <o:r id="V:Rule67" type="connector" idref="#_x0000_s1054"/>
        <o:r id="V:Rule68" type="connector" idref="#_x0000_s1131"/>
        <o:r id="V:Rule69" type="connector" idref="#_x0000_s1116"/>
        <o:r id="V:Rule70" type="connector" idref="#_x0000_s1055"/>
        <o:r id="V:Rule71" type="connector" idref="#_x0000_s1087"/>
        <o:r id="V:Rule72" type="connector" idref="#_x0000_s1046"/>
        <o:r id="V:Rule73" type="connector" idref="#_x0000_s1043"/>
        <o:r id="V:Rule74" type="connector" idref="#_x0000_s1058"/>
        <o:r id="V:Rule75" type="connector" idref="#_x0000_s1064"/>
        <o:r id="V:Rule76" type="connector" idref="#_x0000_s1123"/>
        <o:r id="V:Rule77" type="connector" idref="#_x0000_s1049"/>
        <o:r id="V:Rule78" type="connector" idref="#_x0000_s1114"/>
        <o:r id="V:Rule79" type="connector" idref="#_x0000_s1090"/>
        <o:r id="V:Rule80" type="connector" idref="#_x0000_s1130"/>
        <o:r id="V:Rule81" type="connector" idref="#_x0000_s1048"/>
        <o:r id="V:Rule82" type="connector" idref="#_x0000_s1112"/>
        <o:r id="V:Rule83" type="connector" idref="#_x0000_s1041"/>
        <o:r id="V:Rule84" type="connector" idref="#_x0000_s1089"/>
        <o:r id="V:Rule85" type="connector" idref="#_x0000_s1129"/>
        <o:r id="V:Rule86" type="connector" idref="#_x0000_s1080"/>
        <o:r id="V:Rule87" type="connector" idref="#_x0000_s1092"/>
        <o:r id="V:Rule88" type="connector" idref="#_x0000_s1062"/>
        <o:r id="V:Rule89" type="connector" idref="#_x0000_s1059"/>
        <o:r id="V:Rule90" type="connector" idref="#_x0000_s1125"/>
        <o:r id="V:Rule91" type="connector" idref="#_x0000_s1127"/>
        <o:r id="V:Rule92" type="connector" idref="#_x0000_s1047"/>
        <o:r id="V:Rule93" type="connector" idref="#_x0000_s1081"/>
        <o:r id="V:Rule9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E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5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5E3C"/>
  </w:style>
  <w:style w:type="paragraph" w:styleId="Piedepgina">
    <w:name w:val="footer"/>
    <w:basedOn w:val="Normal"/>
    <w:link w:val="PiedepginaCar"/>
    <w:uiPriority w:val="99"/>
    <w:semiHidden/>
    <w:unhideWhenUsed/>
    <w:rsid w:val="004E5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765C8D-ED35-4510-A5C5-5E005D3EBB3A}" type="doc">
      <dgm:prSet loTypeId="urn:microsoft.com/office/officeart/2005/8/layout/pyramid1" loCatId="pyramid" qsTypeId="urn:microsoft.com/office/officeart/2005/8/quickstyle/3d2" qsCatId="3D" csTypeId="urn:microsoft.com/office/officeart/2005/8/colors/accent4_3" csCatId="accent4" phldr="1"/>
      <dgm:spPr/>
    </dgm:pt>
    <dgm:pt modelId="{23952BCD-60F0-497E-BC4D-2433DCC6C91E}">
      <dgm:prSet phldrT="[Texto]" custT="1"/>
      <dgm:spPr/>
      <dgm:t>
        <a:bodyPr/>
        <a:lstStyle/>
        <a:p>
          <a:r>
            <a:rPr lang="es-MX" sz="2800">
              <a:solidFill>
                <a:srgbClr val="FF3399"/>
              </a:solidFill>
              <a:latin typeface="+mj-lt"/>
            </a:rPr>
            <a:t>Ensayos clinicos</a:t>
          </a:r>
        </a:p>
      </dgm:t>
    </dgm:pt>
    <dgm:pt modelId="{CD48567B-F1F2-429A-BB68-EF3EF99B32E4}" type="parTrans" cxnId="{212A97FA-EA4E-4E5F-89C7-4F54AE8AF468}">
      <dgm:prSet/>
      <dgm:spPr/>
      <dgm:t>
        <a:bodyPr/>
        <a:lstStyle/>
        <a:p>
          <a:endParaRPr lang="es-MX"/>
        </a:p>
      </dgm:t>
    </dgm:pt>
    <dgm:pt modelId="{6C8422C9-93AF-4929-93DC-F81AAE0107F0}" type="sibTrans" cxnId="{212A97FA-EA4E-4E5F-89C7-4F54AE8AF468}">
      <dgm:prSet/>
      <dgm:spPr/>
      <dgm:t>
        <a:bodyPr/>
        <a:lstStyle/>
        <a:p>
          <a:endParaRPr lang="es-MX"/>
        </a:p>
      </dgm:t>
    </dgm:pt>
    <dgm:pt modelId="{E0B25A6E-A266-4FB0-9AB8-ACA50AC2CEB2}">
      <dgm:prSet phldrT="[Texto]"/>
      <dgm:spPr/>
      <dgm:t>
        <a:bodyPr/>
        <a:lstStyle/>
        <a:p>
          <a:r>
            <a:rPr lang="es-MX">
              <a:solidFill>
                <a:srgbClr val="FF6699"/>
              </a:solidFill>
              <a:latin typeface="+mj-lt"/>
            </a:rPr>
            <a:t>*Casos y controles</a:t>
          </a:r>
        </a:p>
        <a:p>
          <a:r>
            <a:rPr lang="es-MX">
              <a:solidFill>
                <a:srgbClr val="FF3399"/>
              </a:solidFill>
              <a:latin typeface="+mj-lt"/>
            </a:rPr>
            <a:t>*Cohorte</a:t>
          </a:r>
        </a:p>
      </dgm:t>
    </dgm:pt>
    <dgm:pt modelId="{8CF316BD-37E2-4476-9A4E-04670CDBEE24}" type="parTrans" cxnId="{D0268351-6C95-4F94-8247-196E491D3FFF}">
      <dgm:prSet/>
      <dgm:spPr/>
      <dgm:t>
        <a:bodyPr/>
        <a:lstStyle/>
        <a:p>
          <a:endParaRPr lang="es-MX"/>
        </a:p>
      </dgm:t>
    </dgm:pt>
    <dgm:pt modelId="{16AC31C4-2DA7-4397-BE08-F141360BC04B}" type="sibTrans" cxnId="{D0268351-6C95-4F94-8247-196E491D3FFF}">
      <dgm:prSet/>
      <dgm:spPr/>
      <dgm:t>
        <a:bodyPr/>
        <a:lstStyle/>
        <a:p>
          <a:endParaRPr lang="es-MX"/>
        </a:p>
      </dgm:t>
    </dgm:pt>
    <dgm:pt modelId="{6821E7E1-A690-40B4-AE44-7029C6816B9F}">
      <dgm:prSet phldrT="[Texto]"/>
      <dgm:spPr/>
      <dgm:t>
        <a:bodyPr/>
        <a:lstStyle/>
        <a:p>
          <a:r>
            <a:rPr lang="es-MX">
              <a:solidFill>
                <a:srgbClr val="FF3399"/>
              </a:solidFill>
              <a:latin typeface="+mj-lt"/>
            </a:rPr>
            <a:t>*Estudios Correlaciones</a:t>
          </a:r>
        </a:p>
        <a:p>
          <a:r>
            <a:rPr lang="es-MX">
              <a:solidFill>
                <a:srgbClr val="FF6699"/>
              </a:solidFill>
              <a:latin typeface="+mj-lt"/>
            </a:rPr>
            <a:t>*Estudio de casos</a:t>
          </a:r>
        </a:p>
        <a:p>
          <a:r>
            <a:rPr lang="es-MX">
              <a:solidFill>
                <a:srgbClr val="FF6699"/>
              </a:solidFill>
              <a:latin typeface="+mj-lt"/>
            </a:rPr>
            <a:t>*Estudios Transversales</a:t>
          </a:r>
        </a:p>
      </dgm:t>
    </dgm:pt>
    <dgm:pt modelId="{109CE855-00A0-480D-B97C-D137315B19DF}" type="parTrans" cxnId="{6E3A3438-5B4F-4186-8726-D31B9E86A8FA}">
      <dgm:prSet/>
      <dgm:spPr/>
      <dgm:t>
        <a:bodyPr/>
        <a:lstStyle/>
        <a:p>
          <a:endParaRPr lang="es-MX"/>
        </a:p>
      </dgm:t>
    </dgm:pt>
    <dgm:pt modelId="{1F6D50E5-3088-4A2D-8054-990CACB905B9}" type="sibTrans" cxnId="{6E3A3438-5B4F-4186-8726-D31B9E86A8FA}">
      <dgm:prSet/>
      <dgm:spPr/>
      <dgm:t>
        <a:bodyPr/>
        <a:lstStyle/>
        <a:p>
          <a:endParaRPr lang="es-MX"/>
        </a:p>
      </dgm:t>
    </dgm:pt>
    <dgm:pt modelId="{CEC285C5-49F9-4249-A019-F9275284B26C}" type="pres">
      <dgm:prSet presAssocID="{FC765C8D-ED35-4510-A5C5-5E005D3EBB3A}" presName="Name0" presStyleCnt="0">
        <dgm:presLayoutVars>
          <dgm:dir/>
          <dgm:animLvl val="lvl"/>
          <dgm:resizeHandles val="exact"/>
        </dgm:presLayoutVars>
      </dgm:prSet>
      <dgm:spPr/>
    </dgm:pt>
    <dgm:pt modelId="{1A637020-99BA-440E-8324-FF105FF96ED2}" type="pres">
      <dgm:prSet presAssocID="{23952BCD-60F0-497E-BC4D-2433DCC6C91E}" presName="Name8" presStyleCnt="0"/>
      <dgm:spPr/>
    </dgm:pt>
    <dgm:pt modelId="{7ED3B796-9021-44D2-9A26-A9E13BD703FD}" type="pres">
      <dgm:prSet presAssocID="{23952BCD-60F0-497E-BC4D-2433DCC6C91E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31CCBD-9E8D-468A-9D84-B22FA91E40E4}" type="pres">
      <dgm:prSet presAssocID="{23952BCD-60F0-497E-BC4D-2433DCC6C9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09F79E-B81F-47CC-A7D1-1BD23693F0FD}" type="pres">
      <dgm:prSet presAssocID="{E0B25A6E-A266-4FB0-9AB8-ACA50AC2CEB2}" presName="Name8" presStyleCnt="0"/>
      <dgm:spPr/>
    </dgm:pt>
    <dgm:pt modelId="{C93C033B-FDF3-49FB-A7AB-7AC2D6FC278E}" type="pres">
      <dgm:prSet presAssocID="{E0B25A6E-A266-4FB0-9AB8-ACA50AC2CEB2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3005CE2-2AFD-4A37-B420-76E0207851A9}" type="pres">
      <dgm:prSet presAssocID="{E0B25A6E-A266-4FB0-9AB8-ACA50AC2CEB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7B87777-96A4-40BC-9E46-30058FDBB4CE}" type="pres">
      <dgm:prSet presAssocID="{6821E7E1-A690-40B4-AE44-7029C6816B9F}" presName="Name8" presStyleCnt="0"/>
      <dgm:spPr/>
    </dgm:pt>
    <dgm:pt modelId="{66825C0D-ABA0-419A-8FCA-0734E4B9E4AE}" type="pres">
      <dgm:prSet presAssocID="{6821E7E1-A690-40B4-AE44-7029C6816B9F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B1DB04-57D3-4875-B64A-B01F15A9F9F4}" type="pres">
      <dgm:prSet presAssocID="{6821E7E1-A690-40B4-AE44-7029C6816B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4E78FE7B-07E2-4BA2-89ED-D649ECA11421}" type="presOf" srcId="{6821E7E1-A690-40B4-AE44-7029C6816B9F}" destId="{66825C0D-ABA0-419A-8FCA-0734E4B9E4AE}" srcOrd="0" destOrd="0" presId="urn:microsoft.com/office/officeart/2005/8/layout/pyramid1"/>
    <dgm:cxn modelId="{6E3A3438-5B4F-4186-8726-D31B9E86A8FA}" srcId="{FC765C8D-ED35-4510-A5C5-5E005D3EBB3A}" destId="{6821E7E1-A690-40B4-AE44-7029C6816B9F}" srcOrd="2" destOrd="0" parTransId="{109CE855-00A0-480D-B97C-D137315B19DF}" sibTransId="{1F6D50E5-3088-4A2D-8054-990CACB905B9}"/>
    <dgm:cxn modelId="{6E520C50-7C3C-4DA9-89F2-F45A9BD9636C}" type="presOf" srcId="{23952BCD-60F0-497E-BC4D-2433DCC6C91E}" destId="{7ED3B796-9021-44D2-9A26-A9E13BD703FD}" srcOrd="0" destOrd="0" presId="urn:microsoft.com/office/officeart/2005/8/layout/pyramid1"/>
    <dgm:cxn modelId="{A1060AE0-EDA5-4564-9EC6-FBAF383FBFE5}" type="presOf" srcId="{6821E7E1-A690-40B4-AE44-7029C6816B9F}" destId="{44B1DB04-57D3-4875-B64A-B01F15A9F9F4}" srcOrd="1" destOrd="0" presId="urn:microsoft.com/office/officeart/2005/8/layout/pyramid1"/>
    <dgm:cxn modelId="{17DDE618-FE1B-4569-8F45-DCABE0EDFE28}" type="presOf" srcId="{FC765C8D-ED35-4510-A5C5-5E005D3EBB3A}" destId="{CEC285C5-49F9-4249-A019-F9275284B26C}" srcOrd="0" destOrd="0" presId="urn:microsoft.com/office/officeart/2005/8/layout/pyramid1"/>
    <dgm:cxn modelId="{D0268351-6C95-4F94-8247-196E491D3FFF}" srcId="{FC765C8D-ED35-4510-A5C5-5E005D3EBB3A}" destId="{E0B25A6E-A266-4FB0-9AB8-ACA50AC2CEB2}" srcOrd="1" destOrd="0" parTransId="{8CF316BD-37E2-4476-9A4E-04670CDBEE24}" sibTransId="{16AC31C4-2DA7-4397-BE08-F141360BC04B}"/>
    <dgm:cxn modelId="{212A97FA-EA4E-4E5F-89C7-4F54AE8AF468}" srcId="{FC765C8D-ED35-4510-A5C5-5E005D3EBB3A}" destId="{23952BCD-60F0-497E-BC4D-2433DCC6C91E}" srcOrd="0" destOrd="0" parTransId="{CD48567B-F1F2-429A-BB68-EF3EF99B32E4}" sibTransId="{6C8422C9-93AF-4929-93DC-F81AAE0107F0}"/>
    <dgm:cxn modelId="{CFBA9410-05B9-4A88-A5A1-B36E95DE0998}" type="presOf" srcId="{E0B25A6E-A266-4FB0-9AB8-ACA50AC2CEB2}" destId="{03005CE2-2AFD-4A37-B420-76E0207851A9}" srcOrd="1" destOrd="0" presId="urn:microsoft.com/office/officeart/2005/8/layout/pyramid1"/>
    <dgm:cxn modelId="{5771422B-9088-43B5-9964-2F07865A0FF7}" type="presOf" srcId="{E0B25A6E-A266-4FB0-9AB8-ACA50AC2CEB2}" destId="{C93C033B-FDF3-49FB-A7AB-7AC2D6FC278E}" srcOrd="0" destOrd="0" presId="urn:microsoft.com/office/officeart/2005/8/layout/pyramid1"/>
    <dgm:cxn modelId="{7F957956-6F23-4F2A-94B5-753C816B8307}" type="presOf" srcId="{23952BCD-60F0-497E-BC4D-2433DCC6C91E}" destId="{FC31CCBD-9E8D-468A-9D84-B22FA91E40E4}" srcOrd="1" destOrd="0" presId="urn:microsoft.com/office/officeart/2005/8/layout/pyramid1"/>
    <dgm:cxn modelId="{296EA176-ADD0-47C6-ADDB-564E6BBC94B0}" type="presParOf" srcId="{CEC285C5-49F9-4249-A019-F9275284B26C}" destId="{1A637020-99BA-440E-8324-FF105FF96ED2}" srcOrd="0" destOrd="0" presId="urn:microsoft.com/office/officeart/2005/8/layout/pyramid1"/>
    <dgm:cxn modelId="{49B9440E-7552-49EA-8262-3AC556374E74}" type="presParOf" srcId="{1A637020-99BA-440E-8324-FF105FF96ED2}" destId="{7ED3B796-9021-44D2-9A26-A9E13BD703FD}" srcOrd="0" destOrd="0" presId="urn:microsoft.com/office/officeart/2005/8/layout/pyramid1"/>
    <dgm:cxn modelId="{67E1494E-495D-4FE6-B364-2345915E84A3}" type="presParOf" srcId="{1A637020-99BA-440E-8324-FF105FF96ED2}" destId="{FC31CCBD-9E8D-468A-9D84-B22FA91E40E4}" srcOrd="1" destOrd="0" presId="urn:microsoft.com/office/officeart/2005/8/layout/pyramid1"/>
    <dgm:cxn modelId="{C5331080-5C76-4B0D-A756-A935B7B2B6DE}" type="presParOf" srcId="{CEC285C5-49F9-4249-A019-F9275284B26C}" destId="{7509F79E-B81F-47CC-A7D1-1BD23693F0FD}" srcOrd="1" destOrd="0" presId="urn:microsoft.com/office/officeart/2005/8/layout/pyramid1"/>
    <dgm:cxn modelId="{D81CAB5D-7A11-4195-A1B0-381B55808281}" type="presParOf" srcId="{7509F79E-B81F-47CC-A7D1-1BD23693F0FD}" destId="{C93C033B-FDF3-49FB-A7AB-7AC2D6FC278E}" srcOrd="0" destOrd="0" presId="urn:microsoft.com/office/officeart/2005/8/layout/pyramid1"/>
    <dgm:cxn modelId="{9342ABB3-C4A8-4E25-9757-2032BBFC09C5}" type="presParOf" srcId="{7509F79E-B81F-47CC-A7D1-1BD23693F0FD}" destId="{03005CE2-2AFD-4A37-B420-76E0207851A9}" srcOrd="1" destOrd="0" presId="urn:microsoft.com/office/officeart/2005/8/layout/pyramid1"/>
    <dgm:cxn modelId="{4FCE7572-A1D5-4A3D-91AE-90A25398383F}" type="presParOf" srcId="{CEC285C5-49F9-4249-A019-F9275284B26C}" destId="{47B87777-96A4-40BC-9E46-30058FDBB4CE}" srcOrd="2" destOrd="0" presId="urn:microsoft.com/office/officeart/2005/8/layout/pyramid1"/>
    <dgm:cxn modelId="{8B6A306E-8FCC-4D07-8037-2CE110B14BFC}" type="presParOf" srcId="{47B87777-96A4-40BC-9E46-30058FDBB4CE}" destId="{66825C0D-ABA0-419A-8FCA-0734E4B9E4AE}" srcOrd="0" destOrd="0" presId="urn:microsoft.com/office/officeart/2005/8/layout/pyramid1"/>
    <dgm:cxn modelId="{0923B6C6-6A84-4FAF-B0F1-62E5F6DDF2DB}" type="presParOf" srcId="{47B87777-96A4-40BC-9E46-30058FDBB4CE}" destId="{44B1DB04-57D3-4875-B64A-B01F15A9F9F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D3B796-9021-44D2-9A26-A9E13BD703FD}">
      <dsp:nvSpPr>
        <dsp:cNvPr id="0" name=""/>
        <dsp:cNvSpPr/>
      </dsp:nvSpPr>
      <dsp:spPr>
        <a:xfrm>
          <a:off x="2077717" y="0"/>
          <a:ext cx="2077717" cy="1324258"/>
        </a:xfrm>
        <a:prstGeom prst="trapezoid">
          <a:avLst>
            <a:gd name="adj" fmla="val 78448"/>
          </a:avLst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>
              <a:solidFill>
                <a:srgbClr val="FF3399"/>
              </a:solidFill>
              <a:latin typeface="+mj-lt"/>
            </a:rPr>
            <a:t>Ensayos clinicos</a:t>
          </a:r>
        </a:p>
      </dsp:txBody>
      <dsp:txXfrm>
        <a:off x="2077717" y="0"/>
        <a:ext cx="2077717" cy="1324258"/>
      </dsp:txXfrm>
    </dsp:sp>
    <dsp:sp modelId="{C93C033B-FDF3-49FB-A7AB-7AC2D6FC278E}">
      <dsp:nvSpPr>
        <dsp:cNvPr id="0" name=""/>
        <dsp:cNvSpPr/>
      </dsp:nvSpPr>
      <dsp:spPr>
        <a:xfrm>
          <a:off x="1038858" y="1324258"/>
          <a:ext cx="4155434" cy="1324258"/>
        </a:xfrm>
        <a:prstGeom prst="trapezoid">
          <a:avLst>
            <a:gd name="adj" fmla="val 78448"/>
          </a:avLst>
        </a:prstGeom>
        <a:gradFill rotWithShape="0">
          <a:gsLst>
            <a:gs pos="0">
              <a:schemeClr val="accent4">
                <a:shade val="80000"/>
                <a:hueOff val="-88279"/>
                <a:satOff val="-2183"/>
                <a:lumOff val="12494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88279"/>
                <a:satOff val="-2183"/>
                <a:lumOff val="12494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88279"/>
                <a:satOff val="-2183"/>
                <a:lumOff val="124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FF6699"/>
              </a:solidFill>
              <a:latin typeface="+mj-lt"/>
            </a:rPr>
            <a:t>*Casos y controles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FF3399"/>
              </a:solidFill>
              <a:latin typeface="+mj-lt"/>
            </a:rPr>
            <a:t>*Cohorte</a:t>
          </a:r>
        </a:p>
      </dsp:txBody>
      <dsp:txXfrm>
        <a:off x="1766059" y="1324258"/>
        <a:ext cx="2701032" cy="1324258"/>
      </dsp:txXfrm>
    </dsp:sp>
    <dsp:sp modelId="{66825C0D-ABA0-419A-8FCA-0734E4B9E4AE}">
      <dsp:nvSpPr>
        <dsp:cNvPr id="0" name=""/>
        <dsp:cNvSpPr/>
      </dsp:nvSpPr>
      <dsp:spPr>
        <a:xfrm>
          <a:off x="0" y="2648516"/>
          <a:ext cx="6233152" cy="1324258"/>
        </a:xfrm>
        <a:prstGeom prst="trapezoid">
          <a:avLst>
            <a:gd name="adj" fmla="val 78448"/>
          </a:avLst>
        </a:prstGeom>
        <a:gradFill rotWithShape="0">
          <a:gsLst>
            <a:gs pos="0">
              <a:schemeClr val="accent4">
                <a:shade val="80000"/>
                <a:hueOff val="-176558"/>
                <a:satOff val="-4365"/>
                <a:lumOff val="24988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76558"/>
                <a:satOff val="-4365"/>
                <a:lumOff val="24988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76558"/>
                <a:satOff val="-4365"/>
                <a:lumOff val="249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FF3399"/>
              </a:solidFill>
              <a:latin typeface="+mj-lt"/>
            </a:rPr>
            <a:t>*Estudios Correlaciones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FF6699"/>
              </a:solidFill>
              <a:latin typeface="+mj-lt"/>
            </a:rPr>
            <a:t>*Estudio de casos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solidFill>
                <a:srgbClr val="FF6699"/>
              </a:solidFill>
              <a:latin typeface="+mj-lt"/>
            </a:rPr>
            <a:t>*Estudios Transversales</a:t>
          </a:r>
        </a:p>
      </dsp:txBody>
      <dsp:txXfrm>
        <a:off x="1090801" y="2648516"/>
        <a:ext cx="4051548" cy="132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Diana Carolina</cp:lastModifiedBy>
  <cp:revision>4</cp:revision>
  <dcterms:created xsi:type="dcterms:W3CDTF">2012-10-17T23:38:00Z</dcterms:created>
  <dcterms:modified xsi:type="dcterms:W3CDTF">2012-10-18T03:32:00Z</dcterms:modified>
</cp:coreProperties>
</file>