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78" w:rsidRDefault="00895D78" w:rsidP="00895D78">
      <w:pPr>
        <w:jc w:val="center"/>
        <w:rPr>
          <w:rFonts w:ascii="Arial" w:hAnsi="Arial" w:cs="Arial"/>
          <w:b/>
          <w:sz w:val="28"/>
        </w:rPr>
      </w:pPr>
    </w:p>
    <w:p w:rsidR="00895D78" w:rsidRDefault="00895D78" w:rsidP="00895D7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ACTIVIDAD PRELIMINAR</w:t>
      </w:r>
    </w:p>
    <w:p w:rsidR="00953844" w:rsidRDefault="00953844" w:rsidP="00895D7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“Conceptos de epidemiología clínica”</w:t>
      </w:r>
      <w:bookmarkStart w:id="0" w:name="_GoBack"/>
      <w:bookmarkEnd w:id="0"/>
    </w:p>
    <w:p w:rsidR="00F734ED" w:rsidRDefault="00F734ED" w:rsidP="00F734ED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Tipos de muestreo</w:t>
      </w:r>
    </w:p>
    <w:p w:rsidR="00F734ED" w:rsidRDefault="005A7C99" w:rsidP="00F734E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Existen dos tipos de muestreo:</w:t>
      </w:r>
    </w:p>
    <w:p w:rsidR="005A7C99" w:rsidRDefault="005A7C99" w:rsidP="00F734E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Probabilístico. </w:t>
      </w:r>
      <w:r>
        <w:rPr>
          <w:rFonts w:ascii="Arial" w:hAnsi="Arial" w:cs="Arial"/>
          <w:sz w:val="24"/>
        </w:rPr>
        <w:t xml:space="preserve">Es un tipo de muestreo en el que se conoce la probabilidad de seleccionar un miembro individual de la población. Las estrategias de muestreo probabilístico son las más </w:t>
      </w:r>
      <w:r w:rsidR="00BD217D">
        <w:rPr>
          <w:rFonts w:ascii="Arial" w:hAnsi="Arial" w:cs="Arial"/>
          <w:sz w:val="24"/>
        </w:rPr>
        <w:t>utilizadas</w:t>
      </w:r>
      <w:r>
        <w:rPr>
          <w:rFonts w:ascii="Arial" w:hAnsi="Arial" w:cs="Arial"/>
          <w:sz w:val="24"/>
        </w:rPr>
        <w:t xml:space="preserve"> porque la selección de los participantes </w:t>
      </w:r>
      <w:r w:rsidR="00BD217D">
        <w:rPr>
          <w:rFonts w:ascii="Arial" w:hAnsi="Arial" w:cs="Arial"/>
          <w:sz w:val="24"/>
        </w:rPr>
        <w:t>está</w:t>
      </w:r>
      <w:r>
        <w:rPr>
          <w:rFonts w:ascii="Arial" w:hAnsi="Arial" w:cs="Arial"/>
          <w:sz w:val="24"/>
        </w:rPr>
        <w:t xml:space="preserve"> determinada por el azar. </w:t>
      </w:r>
      <w:r w:rsidR="00BD217D">
        <w:rPr>
          <w:rFonts w:ascii="Arial" w:hAnsi="Arial" w:cs="Arial"/>
          <w:sz w:val="24"/>
        </w:rPr>
        <w:t>Puesto que la decisión de quién entra y quién no entra en la muestra está regida por reglas no sistemáticas y aleatorias, hay una buena posibilidad de que la muestra de represente verdaderamente a la población. Se divide en muestreo aleatorio, muestreo sistemático, muestreo estratificado y muestreo por acúmulos.</w:t>
      </w:r>
    </w:p>
    <w:p w:rsidR="005A7C99" w:rsidRPr="00BD217D" w:rsidRDefault="005A7C99" w:rsidP="00F734ED">
      <w:pPr>
        <w:jc w:val="both"/>
        <w:rPr>
          <w:rFonts w:ascii="Arial" w:hAnsi="Arial" w:cs="Arial"/>
          <w:sz w:val="24"/>
        </w:rPr>
      </w:pPr>
      <w:r w:rsidRPr="005A7C99">
        <w:rPr>
          <w:rFonts w:ascii="Arial" w:hAnsi="Arial" w:cs="Arial"/>
          <w:b/>
          <w:sz w:val="24"/>
        </w:rPr>
        <w:t>No probabilístico</w:t>
      </w:r>
      <w:r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Es aquel en el que se desconoce la probabilidad de seleccionar cualquier miembro individual de la población. </w:t>
      </w:r>
      <w:r w:rsidR="00BD217D">
        <w:rPr>
          <w:rFonts w:ascii="Arial" w:hAnsi="Arial" w:cs="Arial"/>
          <w:sz w:val="24"/>
        </w:rPr>
        <w:t xml:space="preserve">Se debe suponer que los miembros de la muestra no </w:t>
      </w:r>
      <w:proofErr w:type="gramStart"/>
      <w:r w:rsidR="00BD217D">
        <w:rPr>
          <w:rFonts w:ascii="Arial" w:hAnsi="Arial" w:cs="Arial"/>
          <w:sz w:val="24"/>
        </w:rPr>
        <w:t>tiene</w:t>
      </w:r>
      <w:proofErr w:type="gramEnd"/>
      <w:r w:rsidR="00BD217D">
        <w:rPr>
          <w:rFonts w:ascii="Arial" w:hAnsi="Arial" w:cs="Arial"/>
          <w:sz w:val="24"/>
        </w:rPr>
        <w:t xml:space="preserve"> una probabilidad igual e independiente de ser seleccionados. Se divide en muestreo por conveniencia, muestro por </w:t>
      </w:r>
      <w:proofErr w:type="gramStart"/>
      <w:r w:rsidR="00BD217D">
        <w:rPr>
          <w:rFonts w:ascii="Arial" w:hAnsi="Arial" w:cs="Arial"/>
          <w:sz w:val="24"/>
        </w:rPr>
        <w:t>cuotas .</w:t>
      </w:r>
      <w:proofErr w:type="gramEnd"/>
    </w:p>
    <w:p w:rsidR="00895D78" w:rsidRDefault="00895D78" w:rsidP="00F734ED">
      <w:pPr>
        <w:jc w:val="both"/>
        <w:rPr>
          <w:rFonts w:ascii="Arial" w:hAnsi="Arial" w:cs="Arial"/>
          <w:b/>
          <w:sz w:val="28"/>
        </w:rPr>
      </w:pPr>
    </w:p>
    <w:p w:rsidR="001303EE" w:rsidRDefault="0060009F" w:rsidP="00F734ED">
      <w:pPr>
        <w:jc w:val="both"/>
        <w:rPr>
          <w:rFonts w:ascii="Arial" w:hAnsi="Arial" w:cs="Arial"/>
          <w:b/>
          <w:sz w:val="28"/>
        </w:rPr>
      </w:pPr>
      <w:r w:rsidRPr="0060009F">
        <w:rPr>
          <w:rFonts w:ascii="Arial" w:hAnsi="Arial" w:cs="Arial"/>
          <w:b/>
          <w:sz w:val="28"/>
        </w:rPr>
        <w:t>Tipos de sesgos</w:t>
      </w:r>
    </w:p>
    <w:p w:rsidR="00F734ED" w:rsidRPr="00F734ED" w:rsidRDefault="00F734ED" w:rsidP="00F734ED">
      <w:pPr>
        <w:jc w:val="both"/>
        <w:rPr>
          <w:rFonts w:ascii="Arial" w:hAnsi="Arial" w:cs="Arial"/>
          <w:sz w:val="24"/>
        </w:rPr>
      </w:pPr>
      <w:r w:rsidRPr="0060009F">
        <w:rPr>
          <w:rFonts w:ascii="Arial" w:hAnsi="Arial" w:cs="Arial"/>
          <w:b/>
          <w:sz w:val="24"/>
          <w:u w:val="single"/>
        </w:rPr>
        <w:t>De Información</w:t>
      </w:r>
      <w:r>
        <w:rPr>
          <w:rFonts w:ascii="Arial" w:hAnsi="Arial" w:cs="Arial"/>
          <w:b/>
          <w:sz w:val="24"/>
          <w:u w:val="single"/>
        </w:rPr>
        <w:t xml:space="preserve">. </w:t>
      </w:r>
      <w:r>
        <w:rPr>
          <w:rFonts w:ascii="Arial" w:hAnsi="Arial" w:cs="Arial"/>
          <w:sz w:val="24"/>
        </w:rPr>
        <w:t>Son errores sistemáticos, derivados de diferencia de procedimientos parcializados más a un grupo que a otro, que afecta así la validez y la inferencia de los resultados de un estudio. Se puede presentar tanto en la distribución del factor del riesgo como en el efecto, sea por aumento o por disminución, de los criterios de su determinación.</w:t>
      </w:r>
    </w:p>
    <w:p w:rsidR="0060009F" w:rsidRPr="00F734ED" w:rsidRDefault="0060009F" w:rsidP="00F734ED">
      <w:pPr>
        <w:jc w:val="both"/>
        <w:rPr>
          <w:rFonts w:ascii="Arial" w:hAnsi="Arial" w:cs="Arial"/>
          <w:sz w:val="24"/>
        </w:rPr>
      </w:pPr>
      <w:r w:rsidRPr="0060009F">
        <w:rPr>
          <w:rFonts w:ascii="Arial" w:hAnsi="Arial" w:cs="Arial"/>
          <w:b/>
          <w:sz w:val="24"/>
          <w:u w:val="single"/>
        </w:rPr>
        <w:t>De Selección</w:t>
      </w:r>
      <w:r>
        <w:rPr>
          <w:rFonts w:ascii="Arial" w:hAnsi="Arial" w:cs="Arial"/>
          <w:b/>
          <w:sz w:val="24"/>
          <w:u w:val="single"/>
        </w:rPr>
        <w:t xml:space="preserve">. </w:t>
      </w:r>
      <w:r w:rsidR="00F734ED">
        <w:rPr>
          <w:rFonts w:ascii="Arial" w:hAnsi="Arial" w:cs="Arial"/>
          <w:sz w:val="24"/>
        </w:rPr>
        <w:t>Habrá un sesgo de selección cuando los individuos pertenecientes al grupo de estudio se escogen de una manera sistemáticamente diferente a los del grupo testigo</w:t>
      </w:r>
    </w:p>
    <w:p w:rsidR="00F734ED" w:rsidRPr="0060009F" w:rsidRDefault="00F734ED" w:rsidP="00F734E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Mientras que el sesgo de información se presenta después de tener los individuos de la muestra, los sesgos de selección se presentan antes o durante el procedimiento para escoger la muestra o los sujetos de observación.</w:t>
      </w:r>
    </w:p>
    <w:p w:rsidR="00843954" w:rsidRDefault="00843954" w:rsidP="00F734ED">
      <w:pPr>
        <w:jc w:val="both"/>
      </w:pPr>
    </w:p>
    <w:p w:rsidR="00895D78" w:rsidRDefault="00895D78" w:rsidP="00F734ED">
      <w:pPr>
        <w:jc w:val="both"/>
        <w:rPr>
          <w:rFonts w:ascii="Arial" w:hAnsi="Arial" w:cs="Arial"/>
          <w:b/>
          <w:sz w:val="28"/>
        </w:rPr>
      </w:pPr>
    </w:p>
    <w:p w:rsidR="00843954" w:rsidRDefault="00843954" w:rsidP="00F734ED">
      <w:pPr>
        <w:jc w:val="both"/>
        <w:rPr>
          <w:rFonts w:ascii="Arial" w:hAnsi="Arial" w:cs="Arial"/>
          <w:b/>
          <w:sz w:val="28"/>
        </w:rPr>
      </w:pPr>
      <w:r w:rsidRPr="00843954">
        <w:rPr>
          <w:rFonts w:ascii="Arial" w:hAnsi="Arial" w:cs="Arial"/>
          <w:b/>
          <w:sz w:val="28"/>
        </w:rPr>
        <w:t>Criterios de causalidad</w:t>
      </w:r>
    </w:p>
    <w:p w:rsidR="00843954" w:rsidRDefault="00843954" w:rsidP="00F734E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Estos criterios incluyen:</w:t>
      </w:r>
    </w:p>
    <w:p w:rsidR="00843954" w:rsidRDefault="00843954" w:rsidP="00F734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43954">
        <w:rPr>
          <w:rFonts w:ascii="Arial" w:hAnsi="Arial" w:cs="Arial"/>
          <w:b/>
          <w:sz w:val="24"/>
        </w:rPr>
        <w:t>Consistencia.</w:t>
      </w:r>
      <w:r>
        <w:rPr>
          <w:rFonts w:ascii="Arial" w:hAnsi="Arial" w:cs="Arial"/>
          <w:sz w:val="24"/>
        </w:rPr>
        <w:t xml:space="preserve"> Mediante diversos métodos de enfoque aplicados al estudio de asociación, se llegará a conclusiones similares. Exige que la asociación sea observada en forma repetida por múltiples investigadores  en diferentes sitios, situaciones y tiempos, y después emplear métodos diferentes de estudio.</w:t>
      </w:r>
    </w:p>
    <w:p w:rsidR="00843954" w:rsidRDefault="00843954" w:rsidP="00F734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96BCA">
        <w:rPr>
          <w:rFonts w:ascii="Arial" w:hAnsi="Arial" w:cs="Arial"/>
          <w:b/>
          <w:sz w:val="24"/>
        </w:rPr>
        <w:t>Fuerza.</w:t>
      </w:r>
      <w:r>
        <w:rPr>
          <w:rFonts w:ascii="Arial" w:hAnsi="Arial" w:cs="Arial"/>
          <w:sz w:val="24"/>
        </w:rPr>
        <w:t xml:space="preserve"> La medición </w:t>
      </w:r>
      <w:r w:rsidR="00796BCA">
        <w:rPr>
          <w:rFonts w:ascii="Arial" w:hAnsi="Arial" w:cs="Arial"/>
          <w:sz w:val="24"/>
        </w:rPr>
        <w:t>más</w:t>
      </w:r>
      <w:r>
        <w:rPr>
          <w:rFonts w:ascii="Arial" w:hAnsi="Arial" w:cs="Arial"/>
          <w:sz w:val="24"/>
        </w:rPr>
        <w:t xml:space="preserve"> directa de fuerza de asociación es la relación existente de las tasas de los expuestos y los no expuestos a un determinado riesgo.</w:t>
      </w:r>
    </w:p>
    <w:p w:rsidR="00843954" w:rsidRDefault="00843954" w:rsidP="00F734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96BCA">
        <w:rPr>
          <w:rFonts w:ascii="Arial" w:hAnsi="Arial" w:cs="Arial"/>
          <w:b/>
          <w:sz w:val="24"/>
        </w:rPr>
        <w:t>Secuencia temporal.</w:t>
      </w:r>
      <w:r>
        <w:rPr>
          <w:rFonts w:ascii="Arial" w:hAnsi="Arial" w:cs="Arial"/>
          <w:sz w:val="24"/>
        </w:rPr>
        <w:t xml:space="preserve"> El criterio de secuencia temporal requiere por ejemplo que el acto de fumar preceda al comienzo del cáncer; o a la exposición a la radiación o cualquier agente causal incriminado, los cuales necesariamente deben de ocurrir o haberse iniciado varios años antes. </w:t>
      </w:r>
    </w:p>
    <w:p w:rsidR="00796BCA" w:rsidRPr="00796BCA" w:rsidRDefault="00843954" w:rsidP="00F734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96BCA">
        <w:rPr>
          <w:rFonts w:ascii="Arial" w:hAnsi="Arial" w:cs="Arial"/>
          <w:b/>
          <w:sz w:val="24"/>
        </w:rPr>
        <w:t>Especificidad.</w:t>
      </w:r>
      <w:r>
        <w:rPr>
          <w:rFonts w:ascii="Arial" w:hAnsi="Arial" w:cs="Arial"/>
          <w:sz w:val="24"/>
        </w:rPr>
        <w:t xml:space="preserve"> </w:t>
      </w:r>
      <w:r w:rsidR="00796BCA">
        <w:rPr>
          <w:rFonts w:ascii="Arial" w:hAnsi="Arial" w:cs="Arial"/>
          <w:sz w:val="24"/>
        </w:rPr>
        <w:t>Implica la precisión con la que es posible predecir los cambios en una variable cuando se conocen modificaciones sobre la causa presunta. Supone que un agente causal produce invariablemente o conduce hacia una enfermedad específica.</w:t>
      </w:r>
    </w:p>
    <w:p w:rsidR="00843954" w:rsidRDefault="00843954" w:rsidP="00F734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96BCA">
        <w:rPr>
          <w:rFonts w:ascii="Arial" w:hAnsi="Arial" w:cs="Arial"/>
          <w:b/>
          <w:sz w:val="24"/>
        </w:rPr>
        <w:t>Coherencia (plausibilidad biológica)</w:t>
      </w:r>
      <w:r w:rsidR="00796BCA" w:rsidRPr="00796BCA">
        <w:rPr>
          <w:rFonts w:ascii="Arial" w:hAnsi="Arial" w:cs="Arial"/>
          <w:b/>
          <w:sz w:val="24"/>
        </w:rPr>
        <w:t xml:space="preserve">. </w:t>
      </w:r>
      <w:r w:rsidR="00796BCA">
        <w:rPr>
          <w:rFonts w:ascii="Arial" w:hAnsi="Arial" w:cs="Arial"/>
          <w:sz w:val="24"/>
        </w:rPr>
        <w:t>Ésta exige que los resultados de la epidemiología descriptiva respecto a la ocurrencia de la enfermedad se correlacionen con las medidas de exposición del agente bajo sospecha.</w:t>
      </w:r>
    </w:p>
    <w:p w:rsidR="00843954" w:rsidRDefault="00843954" w:rsidP="00F734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57B6C">
        <w:rPr>
          <w:rFonts w:ascii="Arial" w:hAnsi="Arial" w:cs="Arial"/>
          <w:b/>
          <w:sz w:val="24"/>
        </w:rPr>
        <w:t>Relación dosis respuesta</w:t>
      </w:r>
      <w:r w:rsidR="00796BCA" w:rsidRPr="00157B6C">
        <w:rPr>
          <w:rFonts w:ascii="Arial" w:hAnsi="Arial" w:cs="Arial"/>
          <w:b/>
          <w:sz w:val="24"/>
        </w:rPr>
        <w:t>.</w:t>
      </w:r>
      <w:r w:rsidR="00157B6C" w:rsidRPr="00157B6C">
        <w:t xml:space="preserve"> </w:t>
      </w:r>
      <w:r w:rsidR="00157B6C" w:rsidRPr="00157B6C">
        <w:rPr>
          <w:rFonts w:ascii="Arial" w:hAnsi="Arial" w:cs="Arial"/>
          <w:sz w:val="24"/>
        </w:rPr>
        <w:t>Cuanto mayor es el tiempo y/o dosis de exposición al factor causal, mayor es el riesgo de enfermedad.</w:t>
      </w:r>
      <w:r w:rsidR="00157B6C">
        <w:rPr>
          <w:rFonts w:ascii="Arial" w:hAnsi="Arial" w:cs="Arial"/>
          <w:sz w:val="24"/>
        </w:rPr>
        <w:t xml:space="preserve"> </w:t>
      </w:r>
      <w:r w:rsidR="00796BCA">
        <w:rPr>
          <w:rFonts w:ascii="Arial" w:hAnsi="Arial" w:cs="Arial"/>
          <w:sz w:val="24"/>
        </w:rPr>
        <w:t xml:space="preserve"> </w:t>
      </w:r>
    </w:p>
    <w:p w:rsidR="00843954" w:rsidRDefault="00843954" w:rsidP="00F734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57B6C">
        <w:rPr>
          <w:rFonts w:ascii="Arial" w:hAnsi="Arial" w:cs="Arial"/>
          <w:b/>
          <w:sz w:val="24"/>
        </w:rPr>
        <w:t>Efecto de la cesación (reversibilidad)</w:t>
      </w:r>
      <w:r w:rsidR="00157B6C" w:rsidRPr="00157B6C">
        <w:rPr>
          <w:rFonts w:ascii="Arial" w:hAnsi="Arial" w:cs="Arial"/>
          <w:b/>
          <w:sz w:val="24"/>
        </w:rPr>
        <w:t>.</w:t>
      </w:r>
      <w:r w:rsidR="00157B6C" w:rsidRPr="00157B6C">
        <w:rPr>
          <w:b/>
        </w:rPr>
        <w:t xml:space="preserve"> </w:t>
      </w:r>
      <w:r w:rsidR="00157B6C" w:rsidRPr="00157B6C">
        <w:rPr>
          <w:rFonts w:ascii="Arial" w:hAnsi="Arial" w:cs="Arial"/>
          <w:sz w:val="24"/>
        </w:rPr>
        <w:t>No siempre es posible realizar el estudio necesario, pero es la prueba más sólida de causalidad. En el caso de que no se pueda acceder a un ensayo clínico, hay quienes lo interpretan este punto en el sentido de que si un factor produce un efecto, éste debería cesar cuando desaparece el factor.</w:t>
      </w:r>
    </w:p>
    <w:p w:rsidR="00843954" w:rsidRPr="00157B6C" w:rsidRDefault="00843954" w:rsidP="00F734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157B6C">
        <w:rPr>
          <w:rFonts w:ascii="Arial" w:hAnsi="Arial" w:cs="Arial"/>
          <w:b/>
          <w:sz w:val="24"/>
        </w:rPr>
        <w:t>Diseño del estudio</w:t>
      </w:r>
      <w:r w:rsidR="00157B6C" w:rsidRPr="00157B6C">
        <w:rPr>
          <w:rFonts w:ascii="Arial" w:hAnsi="Arial" w:cs="Arial"/>
          <w:b/>
          <w:sz w:val="24"/>
        </w:rPr>
        <w:t>.</w:t>
      </w:r>
      <w:r w:rsidR="00157B6C">
        <w:rPr>
          <w:rFonts w:ascii="Arial" w:hAnsi="Arial" w:cs="Arial"/>
          <w:b/>
          <w:sz w:val="24"/>
        </w:rPr>
        <w:t xml:space="preserve"> </w:t>
      </w:r>
    </w:p>
    <w:p w:rsidR="00157B6C" w:rsidRDefault="00157B6C" w:rsidP="00F734ED">
      <w:pPr>
        <w:jc w:val="both"/>
        <w:rPr>
          <w:rFonts w:ascii="Arial" w:hAnsi="Arial" w:cs="Arial"/>
          <w:b/>
          <w:sz w:val="24"/>
        </w:rPr>
      </w:pPr>
    </w:p>
    <w:p w:rsidR="00843954" w:rsidRDefault="00157B6C" w:rsidP="00F734E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Bibliografía</w:t>
      </w:r>
    </w:p>
    <w:p w:rsidR="00BD217D" w:rsidRDefault="00BD217D" w:rsidP="00F734ED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Salkind</w:t>
      </w:r>
      <w:proofErr w:type="spellEnd"/>
      <w:r>
        <w:rPr>
          <w:rFonts w:ascii="Arial" w:hAnsi="Arial" w:cs="Arial"/>
          <w:sz w:val="24"/>
        </w:rPr>
        <w:t>, N. J. (1999). Métodos de investigación: Pearson Educación. Recuperado de:</w:t>
      </w:r>
      <w:r w:rsidRPr="00BD217D">
        <w:t xml:space="preserve"> </w:t>
      </w:r>
      <w:hyperlink r:id="rId8" w:history="1">
        <w:r w:rsidRPr="00210526">
          <w:rPr>
            <w:rStyle w:val="Hipervnculo"/>
            <w:rFonts w:ascii="Arial" w:hAnsi="Arial" w:cs="Arial"/>
            <w:sz w:val="24"/>
          </w:rPr>
          <w:t>https://books.google.com.mx/books</w:t>
        </w:r>
      </w:hyperlink>
    </w:p>
    <w:p w:rsidR="00F734ED" w:rsidRDefault="00F734ED" w:rsidP="00F734ED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Colimon</w:t>
      </w:r>
      <w:proofErr w:type="spellEnd"/>
      <w:r>
        <w:rPr>
          <w:rFonts w:ascii="Arial" w:hAnsi="Arial" w:cs="Arial"/>
          <w:sz w:val="24"/>
        </w:rPr>
        <w:t>, K</w:t>
      </w:r>
      <w:r w:rsidR="007B79CB">
        <w:rPr>
          <w:rFonts w:ascii="Arial" w:hAnsi="Arial" w:cs="Arial"/>
          <w:sz w:val="24"/>
        </w:rPr>
        <w:t xml:space="preserve">.M. </w:t>
      </w:r>
      <w:r w:rsidR="00BD217D">
        <w:rPr>
          <w:rFonts w:ascii="Arial" w:hAnsi="Arial" w:cs="Arial"/>
          <w:sz w:val="24"/>
        </w:rPr>
        <w:t>(2000).</w:t>
      </w:r>
      <w:r w:rsidR="007B79CB">
        <w:rPr>
          <w:rFonts w:ascii="Arial" w:hAnsi="Arial" w:cs="Arial"/>
          <w:sz w:val="24"/>
        </w:rPr>
        <w:t xml:space="preserve">Fundamentos de epidemiología: Ediciones  Díaz de Santos. Recuperado de: </w:t>
      </w:r>
      <w:hyperlink r:id="rId9" w:history="1">
        <w:r w:rsidR="007B79CB" w:rsidRPr="00210526">
          <w:rPr>
            <w:rStyle w:val="Hipervnculo"/>
            <w:rFonts w:ascii="Arial" w:hAnsi="Arial" w:cs="Arial"/>
            <w:sz w:val="24"/>
          </w:rPr>
          <w:t>https://books.google.com.mx/books</w:t>
        </w:r>
      </w:hyperlink>
    </w:p>
    <w:p w:rsidR="00796BCA" w:rsidRDefault="00796BCA" w:rsidP="00F734ED">
      <w:pPr>
        <w:jc w:val="both"/>
        <w:rPr>
          <w:rFonts w:ascii="Arial" w:hAnsi="Arial" w:cs="Arial"/>
          <w:sz w:val="24"/>
        </w:rPr>
      </w:pPr>
      <w:r w:rsidRPr="00157B6C">
        <w:rPr>
          <w:rFonts w:ascii="Arial" w:hAnsi="Arial" w:cs="Arial"/>
          <w:sz w:val="24"/>
        </w:rPr>
        <w:t xml:space="preserve">Armijo, R. (1994). Epidemiología básica en atención primaria de la salud: Ediciones Díaz de Santos. Recuperado de: </w:t>
      </w:r>
      <w:hyperlink r:id="rId10" w:history="1">
        <w:r w:rsidR="00F734ED" w:rsidRPr="00210526">
          <w:rPr>
            <w:rStyle w:val="Hipervnculo"/>
            <w:rFonts w:ascii="Arial" w:hAnsi="Arial" w:cs="Arial"/>
            <w:sz w:val="24"/>
          </w:rPr>
          <w:t>https://books.google.com.mx/books</w:t>
        </w:r>
      </w:hyperlink>
    </w:p>
    <w:p w:rsidR="00F734ED" w:rsidRPr="00157B6C" w:rsidRDefault="00F734ED" w:rsidP="00F734ED">
      <w:pPr>
        <w:jc w:val="both"/>
        <w:rPr>
          <w:rFonts w:ascii="Arial" w:hAnsi="Arial" w:cs="Arial"/>
          <w:sz w:val="24"/>
        </w:rPr>
      </w:pPr>
    </w:p>
    <w:sectPr w:rsidR="00F734ED" w:rsidRPr="00157B6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DD" w:rsidRDefault="006732DD" w:rsidP="00895D78">
      <w:pPr>
        <w:spacing w:after="0" w:line="240" w:lineRule="auto"/>
      </w:pPr>
      <w:r>
        <w:separator/>
      </w:r>
    </w:p>
  </w:endnote>
  <w:endnote w:type="continuationSeparator" w:id="0">
    <w:p w:rsidR="006732DD" w:rsidRDefault="006732DD" w:rsidP="0089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DD" w:rsidRDefault="006732DD" w:rsidP="00895D78">
      <w:pPr>
        <w:spacing w:after="0" w:line="240" w:lineRule="auto"/>
      </w:pPr>
      <w:r>
        <w:separator/>
      </w:r>
    </w:p>
  </w:footnote>
  <w:footnote w:type="continuationSeparator" w:id="0">
    <w:p w:rsidR="006732DD" w:rsidRDefault="006732DD" w:rsidP="0089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78" w:rsidRPr="00895D78" w:rsidRDefault="00895D78" w:rsidP="00895D78">
    <w:pPr>
      <w:pStyle w:val="Encabezado"/>
      <w:jc w:val="right"/>
      <w:rPr>
        <w:b/>
        <w:i/>
      </w:rPr>
    </w:pPr>
    <w:r w:rsidRPr="00895D78">
      <w:rPr>
        <w:b/>
        <w:i/>
      </w:rPr>
      <w:t>Gabriela Alejandra Bonilla Sánchez</w:t>
    </w:r>
  </w:p>
  <w:p w:rsidR="00895D78" w:rsidRDefault="00895D78" w:rsidP="00895D78">
    <w:pPr>
      <w:pStyle w:val="Encabezado"/>
      <w:jc w:val="right"/>
    </w:pPr>
    <w:r>
      <w:t>Hospital Civil Dr. Juan I. Menchaca</w:t>
    </w:r>
  </w:p>
  <w:p w:rsidR="00895D78" w:rsidRPr="00895D78" w:rsidRDefault="00895D78" w:rsidP="00895D78">
    <w:pPr>
      <w:pStyle w:val="Encabezado"/>
      <w:jc w:val="right"/>
      <w:rPr>
        <w:i/>
      </w:rPr>
    </w:pPr>
    <w:r w:rsidRPr="00895D78">
      <w:rPr>
        <w:i/>
      </w:rPr>
      <w:t>MEDICINA BASADA EN EVIDENCIAS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6715"/>
    <w:multiLevelType w:val="hybridMultilevel"/>
    <w:tmpl w:val="ACB88840"/>
    <w:lvl w:ilvl="0" w:tplc="4BE623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54"/>
    <w:rsid w:val="001303EE"/>
    <w:rsid w:val="00157B6C"/>
    <w:rsid w:val="005A7C99"/>
    <w:rsid w:val="0060009F"/>
    <w:rsid w:val="006732DD"/>
    <w:rsid w:val="00796BCA"/>
    <w:rsid w:val="007B79CB"/>
    <w:rsid w:val="00843954"/>
    <w:rsid w:val="00895D78"/>
    <w:rsid w:val="00953844"/>
    <w:rsid w:val="00BD217D"/>
    <w:rsid w:val="00F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9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34E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5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D78"/>
  </w:style>
  <w:style w:type="paragraph" w:styleId="Piedepgina">
    <w:name w:val="footer"/>
    <w:basedOn w:val="Normal"/>
    <w:link w:val="PiedepginaCar"/>
    <w:uiPriority w:val="99"/>
    <w:unhideWhenUsed/>
    <w:rsid w:val="00895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9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34E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5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D78"/>
  </w:style>
  <w:style w:type="paragraph" w:styleId="Piedepgina">
    <w:name w:val="footer"/>
    <w:basedOn w:val="Normal"/>
    <w:link w:val="PiedepginaCar"/>
    <w:uiPriority w:val="99"/>
    <w:unhideWhenUsed/>
    <w:rsid w:val="00895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.mx/book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ooks.google.com.mx/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com.mx/books?id=xQ51VY3zEu4C&amp;printsec=frontcover&amp;hl=es&amp;source=gbs_ge_summary_r&amp;cad=0#v=onepage&amp;q&amp;f=fal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Quant</dc:creator>
  <cp:lastModifiedBy>Gaby Quant</cp:lastModifiedBy>
  <cp:revision>2</cp:revision>
  <dcterms:created xsi:type="dcterms:W3CDTF">2015-02-05T01:56:00Z</dcterms:created>
  <dcterms:modified xsi:type="dcterms:W3CDTF">2015-02-05T03:39:00Z</dcterms:modified>
</cp:coreProperties>
</file>