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E" w:rsidRPr="00B519E5" w:rsidRDefault="005724CE" w:rsidP="005724CE">
      <w:pPr>
        <w:rPr>
          <w:i/>
        </w:rPr>
      </w:pPr>
      <w:r w:rsidRPr="00B519E5">
        <w:rPr>
          <w:i/>
        </w:rPr>
        <w:t>TIPOS DE MUESTREO:</w:t>
      </w:r>
    </w:p>
    <w:p w:rsidR="005724CE" w:rsidRPr="00B519E5" w:rsidRDefault="005724CE" w:rsidP="005724CE">
      <w:pPr>
        <w:rPr>
          <w:i/>
        </w:rPr>
      </w:pPr>
      <w:r w:rsidRPr="00B519E5">
        <w:rPr>
          <w:i/>
        </w:rPr>
        <w:t>Muestreo Probabilístico</w:t>
      </w:r>
    </w:p>
    <w:p w:rsidR="005724CE" w:rsidRPr="00B519E5" w:rsidRDefault="005724CE" w:rsidP="005724CE">
      <w:pPr>
        <w:pStyle w:val="Prrafodelista"/>
        <w:numPr>
          <w:ilvl w:val="0"/>
          <w:numId w:val="1"/>
        </w:numPr>
        <w:rPr>
          <w:i/>
        </w:rPr>
      </w:pPr>
      <w:r w:rsidRPr="00B519E5">
        <w:rPr>
          <w:i/>
        </w:rPr>
        <w:t>Aleatorio Simple</w:t>
      </w:r>
    </w:p>
    <w:p w:rsidR="005724CE" w:rsidRPr="00B519E5" w:rsidRDefault="005724CE" w:rsidP="005724CE">
      <w:pPr>
        <w:pStyle w:val="Prrafodelista"/>
        <w:numPr>
          <w:ilvl w:val="0"/>
          <w:numId w:val="1"/>
        </w:numPr>
        <w:rPr>
          <w:i/>
        </w:rPr>
      </w:pPr>
      <w:r w:rsidRPr="00B519E5">
        <w:rPr>
          <w:i/>
        </w:rPr>
        <w:t>Sistemático</w:t>
      </w:r>
    </w:p>
    <w:p w:rsidR="005724CE" w:rsidRPr="00B519E5" w:rsidRDefault="005724CE" w:rsidP="005724CE">
      <w:pPr>
        <w:pStyle w:val="Prrafodelista"/>
        <w:numPr>
          <w:ilvl w:val="0"/>
          <w:numId w:val="1"/>
        </w:numPr>
        <w:rPr>
          <w:i/>
        </w:rPr>
      </w:pPr>
      <w:r w:rsidRPr="00B519E5">
        <w:rPr>
          <w:i/>
        </w:rPr>
        <w:t>Estratificado</w:t>
      </w:r>
    </w:p>
    <w:p w:rsidR="009A12C0" w:rsidRPr="009A12C0" w:rsidRDefault="005724CE" w:rsidP="009A12C0">
      <w:pPr>
        <w:pStyle w:val="Prrafodelista"/>
        <w:numPr>
          <w:ilvl w:val="0"/>
          <w:numId w:val="1"/>
        </w:numPr>
        <w:rPr>
          <w:i/>
        </w:rPr>
      </w:pPr>
      <w:r w:rsidRPr="00B519E5">
        <w:rPr>
          <w:i/>
        </w:rPr>
        <w:t>Conglomerados</w:t>
      </w:r>
    </w:p>
    <w:p w:rsidR="005724CE" w:rsidRPr="009A12C0" w:rsidRDefault="005724CE" w:rsidP="009A12C0">
      <w:pPr>
        <w:rPr>
          <w:i/>
        </w:rPr>
      </w:pPr>
      <w:r w:rsidRPr="009A12C0">
        <w:rPr>
          <w:i/>
        </w:rPr>
        <w:t>Muestreo No Probabilístico</w:t>
      </w:r>
    </w:p>
    <w:p w:rsidR="005724CE" w:rsidRPr="00B519E5" w:rsidRDefault="005724CE" w:rsidP="005724CE">
      <w:pPr>
        <w:pStyle w:val="Prrafodelista"/>
        <w:numPr>
          <w:ilvl w:val="0"/>
          <w:numId w:val="2"/>
        </w:numPr>
        <w:rPr>
          <w:i/>
        </w:rPr>
      </w:pPr>
      <w:r w:rsidRPr="00B519E5">
        <w:rPr>
          <w:i/>
        </w:rPr>
        <w:t>Por conveniencia</w:t>
      </w:r>
    </w:p>
    <w:p w:rsidR="005724CE" w:rsidRPr="00B519E5" w:rsidRDefault="005724CE" w:rsidP="005724CE">
      <w:pPr>
        <w:pStyle w:val="Prrafodelista"/>
        <w:numPr>
          <w:ilvl w:val="0"/>
          <w:numId w:val="2"/>
        </w:numPr>
        <w:rPr>
          <w:i/>
        </w:rPr>
      </w:pPr>
      <w:r w:rsidRPr="00B519E5">
        <w:rPr>
          <w:i/>
        </w:rPr>
        <w:t>Por casos consecutivos</w:t>
      </w:r>
    </w:p>
    <w:p w:rsidR="005724CE" w:rsidRPr="00B519E5" w:rsidRDefault="005724CE" w:rsidP="005724CE">
      <w:pPr>
        <w:pStyle w:val="Prrafodelista"/>
        <w:numPr>
          <w:ilvl w:val="0"/>
          <w:numId w:val="2"/>
        </w:numPr>
        <w:rPr>
          <w:i/>
        </w:rPr>
      </w:pPr>
      <w:r w:rsidRPr="00B519E5">
        <w:rPr>
          <w:i/>
        </w:rPr>
        <w:t>Por cuota</w:t>
      </w:r>
    </w:p>
    <w:p w:rsidR="00FC7465" w:rsidRPr="00B519E5" w:rsidRDefault="005724CE" w:rsidP="005724CE">
      <w:pPr>
        <w:pStyle w:val="Prrafodelista"/>
        <w:numPr>
          <w:ilvl w:val="0"/>
          <w:numId w:val="2"/>
        </w:numPr>
        <w:rPr>
          <w:i/>
        </w:rPr>
      </w:pPr>
      <w:r w:rsidRPr="00B519E5">
        <w:rPr>
          <w:i/>
        </w:rPr>
        <w:t>Bola de nieve</w:t>
      </w:r>
    </w:p>
    <w:p w:rsidR="005724CE" w:rsidRPr="00B519E5" w:rsidRDefault="005724CE" w:rsidP="005724CE">
      <w:pPr>
        <w:rPr>
          <w:i/>
        </w:rPr>
      </w:pPr>
    </w:p>
    <w:p w:rsidR="005724CE" w:rsidRPr="00B519E5" w:rsidRDefault="005724CE" w:rsidP="005724CE">
      <w:pPr>
        <w:rPr>
          <w:i/>
        </w:rPr>
      </w:pPr>
      <w:r w:rsidRPr="00B519E5">
        <w:rPr>
          <w:i/>
        </w:rPr>
        <w:t>SESGO:</w:t>
      </w:r>
    </w:p>
    <w:p w:rsidR="005724CE" w:rsidRPr="00B519E5" w:rsidRDefault="005724CE" w:rsidP="005724CE">
      <w:pPr>
        <w:rPr>
          <w:bCs/>
          <w:i/>
        </w:rPr>
      </w:pPr>
      <w:r w:rsidRPr="00B519E5">
        <w:rPr>
          <w:bCs/>
          <w:i/>
        </w:rPr>
        <w:t>Es un error sistemático introducido en la planeación del estudio</w:t>
      </w:r>
    </w:p>
    <w:p w:rsidR="005724CE" w:rsidRPr="00B519E5" w:rsidRDefault="005724CE" w:rsidP="005724CE">
      <w:pPr>
        <w:rPr>
          <w:bCs/>
          <w:i/>
        </w:rPr>
      </w:pPr>
      <w:r w:rsidRPr="00B519E5">
        <w:rPr>
          <w:bCs/>
          <w:i/>
        </w:rPr>
        <w:t>Sesgos de selección y sesgos de información.</w:t>
      </w:r>
    </w:p>
    <w:p w:rsidR="005724CE" w:rsidRPr="00B519E5" w:rsidRDefault="005724CE" w:rsidP="005724CE">
      <w:pPr>
        <w:rPr>
          <w:bCs/>
          <w:i/>
        </w:rPr>
      </w:pPr>
      <w:r w:rsidRPr="00B519E5">
        <w:rPr>
          <w:bCs/>
          <w:i/>
        </w:rPr>
        <w:t>SESGOS DE SELECCIÓN:</w:t>
      </w:r>
    </w:p>
    <w:p w:rsidR="00242B5D" w:rsidRPr="00B519E5" w:rsidRDefault="00064A25" w:rsidP="00942C5A">
      <w:pPr>
        <w:pStyle w:val="Prrafodelista"/>
        <w:numPr>
          <w:ilvl w:val="0"/>
          <w:numId w:val="11"/>
        </w:numPr>
        <w:rPr>
          <w:bCs/>
          <w:i/>
        </w:rPr>
      </w:pPr>
      <w:r w:rsidRPr="00B519E5">
        <w:rPr>
          <w:bCs/>
          <w:i/>
          <w:iCs/>
        </w:rPr>
        <w:t xml:space="preserve">Sesgo </w:t>
      </w:r>
      <w:proofErr w:type="spellStart"/>
      <w:r w:rsidRPr="00B519E5">
        <w:rPr>
          <w:bCs/>
          <w:i/>
          <w:iCs/>
        </w:rPr>
        <w:t>Berksoniano</w:t>
      </w:r>
      <w:proofErr w:type="spellEnd"/>
      <w:r w:rsidRPr="00B519E5">
        <w:rPr>
          <w:bCs/>
          <w:i/>
        </w:rPr>
        <w:t xml:space="preserve"> – Puede haber una asociación espuria entre enfermedades o entre una característica y una enfermedad debido a las diferentes probabilidades de admisión a un hospital para aquellos con la enfermedad, sin la enfermedad pero con la característica de interés</w:t>
      </w:r>
      <w:r w:rsidRPr="00B519E5">
        <w:rPr>
          <w:bCs/>
          <w:i/>
          <w:iCs/>
        </w:rPr>
        <w:t xml:space="preserve"> </w:t>
      </w:r>
    </w:p>
    <w:p w:rsidR="00242B5D" w:rsidRPr="00B519E5" w:rsidRDefault="00064A25" w:rsidP="00942C5A">
      <w:pPr>
        <w:pStyle w:val="Prrafodelista"/>
        <w:numPr>
          <w:ilvl w:val="0"/>
          <w:numId w:val="11"/>
        </w:numPr>
        <w:rPr>
          <w:bCs/>
          <w:i/>
        </w:rPr>
      </w:pPr>
      <w:r w:rsidRPr="00B519E5">
        <w:rPr>
          <w:bCs/>
          <w:i/>
          <w:iCs/>
        </w:rPr>
        <w:t>Sesgo de respuesta</w:t>
      </w:r>
      <w:r w:rsidRPr="00B519E5">
        <w:rPr>
          <w:bCs/>
          <w:i/>
        </w:rPr>
        <w:t xml:space="preserve"> – aquellos que aceptan estar en un estudio pueden ser de alguna forma diferentes a los que </w:t>
      </w:r>
      <w:r w:rsidR="00942C5A" w:rsidRPr="00B519E5">
        <w:rPr>
          <w:bCs/>
          <w:i/>
        </w:rPr>
        <w:t>rehúsan</w:t>
      </w:r>
      <w:r w:rsidRPr="00B519E5">
        <w:rPr>
          <w:bCs/>
          <w:i/>
        </w:rPr>
        <w:t xml:space="preserve"> participar</w:t>
      </w:r>
    </w:p>
    <w:p w:rsidR="005724CE" w:rsidRPr="00B519E5" w:rsidRDefault="005724CE" w:rsidP="005724CE">
      <w:pPr>
        <w:rPr>
          <w:bCs/>
          <w:i/>
        </w:rPr>
      </w:pPr>
      <w:r w:rsidRPr="00B519E5">
        <w:rPr>
          <w:bCs/>
          <w:i/>
        </w:rPr>
        <w:t>SESGOS DE INFORMACIÓN:</w:t>
      </w:r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t>Sesgo del entrevistador</w:t>
      </w:r>
      <w:r w:rsidRPr="00B519E5">
        <w:rPr>
          <w:bCs/>
          <w:i/>
        </w:rPr>
        <w:t xml:space="preserve"> – el conocimiento de un entrevistador puede influenciar la estructura de preguntas y la manera de </w:t>
      </w:r>
      <w:r w:rsidR="00942C5A" w:rsidRPr="00B519E5">
        <w:rPr>
          <w:bCs/>
          <w:i/>
        </w:rPr>
        <w:t>presentarla</w:t>
      </w:r>
      <w:r w:rsidRPr="00B519E5">
        <w:rPr>
          <w:bCs/>
          <w:i/>
        </w:rPr>
        <w:t>, lo cual puede influenciar las respuestas</w:t>
      </w:r>
      <w:bookmarkStart w:id="0" w:name="_GoBack"/>
      <w:bookmarkEnd w:id="0"/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t>Sesgo de recuerdo</w:t>
      </w:r>
      <w:r w:rsidRPr="00B519E5">
        <w:rPr>
          <w:bCs/>
          <w:i/>
        </w:rPr>
        <w:t xml:space="preserve"> – aquellos (as) con una exposición o resultados particulares pueden recordar eventos más claramente o ampliar sus pensamientos sobre el evento</w:t>
      </w:r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t>Sesgo del observador</w:t>
      </w:r>
      <w:r w:rsidRPr="00B519E5">
        <w:rPr>
          <w:bCs/>
          <w:i/>
        </w:rPr>
        <w:t xml:space="preserve"> – observadores pueden tener expectativas preconcebidas de lo qu</w:t>
      </w:r>
      <w:r w:rsidR="00942C5A" w:rsidRPr="00B519E5">
        <w:rPr>
          <w:bCs/>
          <w:i/>
        </w:rPr>
        <w:t>e</w:t>
      </w:r>
      <w:r w:rsidRPr="00B519E5">
        <w:rPr>
          <w:bCs/>
          <w:i/>
        </w:rPr>
        <w:t xml:space="preserve"> deberían encontrar en un </w:t>
      </w:r>
      <w:r w:rsidR="00942C5A" w:rsidRPr="00B519E5">
        <w:rPr>
          <w:bCs/>
          <w:i/>
        </w:rPr>
        <w:t>examen</w:t>
      </w:r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t>Pérdida de seguimiento</w:t>
      </w:r>
      <w:r w:rsidRPr="00B519E5">
        <w:rPr>
          <w:bCs/>
          <w:i/>
        </w:rPr>
        <w:t xml:space="preserve"> – aquellos que son perdidos en el seguimiento o quienes se retiran del estudio pueden ser diferentes que aquellos seguidos por todo el estudio</w:t>
      </w:r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t xml:space="preserve">Efecto Hawthorne </w:t>
      </w:r>
      <w:r w:rsidRPr="00B519E5">
        <w:rPr>
          <w:bCs/>
          <w:i/>
        </w:rPr>
        <w:t xml:space="preserve">– un efecto primeramente documentado en la planta </w:t>
      </w:r>
      <w:proofErr w:type="spellStart"/>
      <w:r w:rsidRPr="00B519E5">
        <w:rPr>
          <w:bCs/>
          <w:i/>
        </w:rPr>
        <w:t>manufactora</w:t>
      </w:r>
      <w:proofErr w:type="spellEnd"/>
      <w:r w:rsidRPr="00B519E5">
        <w:rPr>
          <w:bCs/>
          <w:i/>
        </w:rPr>
        <w:t xml:space="preserve"> Hawthorne; las personas actúan diferentemente si saben que están siendo observadas</w:t>
      </w:r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t>Sesgo de vigilancia o monitoreo</w:t>
      </w:r>
      <w:r w:rsidRPr="00B519E5">
        <w:rPr>
          <w:bCs/>
          <w:i/>
        </w:rPr>
        <w:t xml:space="preserve"> – el grupo con la exposición o el resultado pueden</w:t>
      </w:r>
      <w:r w:rsidR="00942C5A" w:rsidRPr="00B519E5">
        <w:rPr>
          <w:bCs/>
          <w:i/>
        </w:rPr>
        <w:t xml:space="preserve"> s</w:t>
      </w:r>
      <w:r w:rsidRPr="00B519E5">
        <w:rPr>
          <w:bCs/>
          <w:i/>
        </w:rPr>
        <w:t>er seguidos más estrechamente o  por más tiempo que el grupo de comparación</w:t>
      </w:r>
    </w:p>
    <w:p w:rsidR="00242B5D" w:rsidRPr="00B519E5" w:rsidRDefault="00064A25" w:rsidP="00942C5A">
      <w:pPr>
        <w:pStyle w:val="Prrafodelista"/>
        <w:numPr>
          <w:ilvl w:val="0"/>
          <w:numId w:val="10"/>
        </w:numPr>
        <w:rPr>
          <w:bCs/>
          <w:i/>
        </w:rPr>
      </w:pPr>
      <w:r w:rsidRPr="00B519E5">
        <w:rPr>
          <w:bCs/>
          <w:i/>
          <w:iCs/>
        </w:rPr>
        <w:lastRenderedPageBreak/>
        <w:t xml:space="preserve">Sesgo de </w:t>
      </w:r>
      <w:proofErr w:type="spellStart"/>
      <w:r w:rsidRPr="00B519E5">
        <w:rPr>
          <w:bCs/>
          <w:i/>
          <w:iCs/>
        </w:rPr>
        <w:t>misclasificación</w:t>
      </w:r>
      <w:proofErr w:type="spellEnd"/>
      <w:r w:rsidRPr="00B519E5">
        <w:rPr>
          <w:bCs/>
          <w:i/>
        </w:rPr>
        <w:t xml:space="preserve"> –</w:t>
      </w:r>
      <w:r w:rsidR="00942C5A" w:rsidRPr="00B519E5">
        <w:rPr>
          <w:bCs/>
          <w:i/>
        </w:rPr>
        <w:t>los</w:t>
      </w:r>
      <w:r w:rsidR="005724CE" w:rsidRPr="00B519E5">
        <w:rPr>
          <w:bCs/>
          <w:i/>
        </w:rPr>
        <w:t xml:space="preserve"> </w:t>
      </w:r>
      <w:r w:rsidRPr="00B519E5">
        <w:rPr>
          <w:bCs/>
          <w:i/>
        </w:rPr>
        <w:t>errores son hechos</w:t>
      </w:r>
      <w:r w:rsidR="005724CE" w:rsidRPr="00B519E5">
        <w:rPr>
          <w:bCs/>
          <w:i/>
        </w:rPr>
        <w:t xml:space="preserve"> en clasificar </w:t>
      </w:r>
      <w:r w:rsidRPr="00B519E5">
        <w:rPr>
          <w:bCs/>
          <w:i/>
        </w:rPr>
        <w:t xml:space="preserve">el </w:t>
      </w:r>
      <w:r w:rsidR="005724CE" w:rsidRPr="00B519E5">
        <w:rPr>
          <w:bCs/>
          <w:i/>
        </w:rPr>
        <w:t>e</w:t>
      </w:r>
      <w:r w:rsidRPr="00B519E5">
        <w:rPr>
          <w:bCs/>
          <w:i/>
        </w:rPr>
        <w:t>status de la enfermedad o de la exposición</w:t>
      </w:r>
    </w:p>
    <w:p w:rsidR="00B519E5" w:rsidRPr="00B519E5" w:rsidRDefault="00B519E5" w:rsidP="00B519E5">
      <w:pPr>
        <w:shd w:val="clear" w:color="auto" w:fill="FFFFFF"/>
        <w:spacing w:before="300" w:after="0" w:line="360" w:lineRule="atLeast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CRITERIOS DE CAUSALIDAD:</w:t>
      </w:r>
    </w:p>
    <w:p w:rsidR="00B519E5" w:rsidRPr="00B519E5" w:rsidRDefault="00B519E5" w:rsidP="00B519E5">
      <w:pPr>
        <w:shd w:val="clear" w:color="auto" w:fill="FFFFFF"/>
        <w:spacing w:before="300" w:after="0" w:line="360" w:lineRule="atLeast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bCs/>
          <w:i/>
          <w:color w:val="333333"/>
          <w:lang w:eastAsia="es-MX"/>
        </w:rPr>
        <w:t>De validez interna</w:t>
      </w:r>
      <w:r w:rsidRPr="00B519E5">
        <w:rPr>
          <w:rFonts w:eastAsia="Times New Roman" w:cs="Arial"/>
          <w:i/>
          <w:color w:val="333333"/>
          <w:lang w:eastAsia="es-MX"/>
        </w:rPr>
        <w:t> (propios del estudio)</w:t>
      </w:r>
    </w:p>
    <w:p w:rsidR="00B519E5" w:rsidRPr="00B519E5" w:rsidRDefault="00B519E5" w:rsidP="00B519E5">
      <w:pPr>
        <w:numPr>
          <w:ilvl w:val="0"/>
          <w:numId w:val="12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Fuerza de asociación: A mayor intensidad de la relación entre dos variables, mayor es la probabilidad de que exista una relación.</w:t>
      </w:r>
    </w:p>
    <w:p w:rsidR="00B519E5" w:rsidRPr="00B519E5" w:rsidRDefault="00B519E5" w:rsidP="00B519E5">
      <w:pPr>
        <w:shd w:val="clear" w:color="auto" w:fill="FFFFFF"/>
        <w:spacing w:after="0" w:line="360" w:lineRule="atLeast"/>
        <w:rPr>
          <w:rFonts w:eastAsia="Times New Roman" w:cs="Arial"/>
          <w:i/>
          <w:color w:val="333333"/>
          <w:lang w:eastAsia="es-MX"/>
        </w:rPr>
      </w:pPr>
    </w:p>
    <w:p w:rsidR="00B519E5" w:rsidRPr="00B519E5" w:rsidRDefault="00B519E5" w:rsidP="00B519E5">
      <w:pPr>
        <w:numPr>
          <w:ilvl w:val="0"/>
          <w:numId w:val="12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Secuencia temporal: Aunque en ocasiones es difícil establecerlo, la causa debe preceder al efecto. Es el único criterio considerado por algunos autores como condición </w:t>
      </w:r>
      <w:r w:rsidRPr="00B519E5">
        <w:rPr>
          <w:rFonts w:eastAsia="Times New Roman" w:cs="Arial"/>
          <w:i/>
          <w:iCs/>
          <w:color w:val="333333"/>
          <w:lang w:eastAsia="es-MX"/>
        </w:rPr>
        <w:t>sine qua non</w:t>
      </w:r>
      <w:r w:rsidRPr="00B519E5">
        <w:rPr>
          <w:rFonts w:eastAsia="Times New Roman" w:cs="Arial"/>
          <w:i/>
          <w:color w:val="333333"/>
          <w:lang w:eastAsia="es-MX"/>
        </w:rPr>
        <w:t>.</w:t>
      </w:r>
    </w:p>
    <w:p w:rsidR="00B519E5" w:rsidRPr="00B519E5" w:rsidRDefault="00B519E5" w:rsidP="00B519E5">
      <w:pPr>
        <w:shd w:val="clear" w:color="auto" w:fill="FFFFFF"/>
        <w:spacing w:after="0" w:line="360" w:lineRule="atLeast"/>
        <w:rPr>
          <w:rFonts w:eastAsia="Times New Roman" w:cs="Arial"/>
          <w:i/>
          <w:color w:val="333333"/>
          <w:lang w:eastAsia="es-MX"/>
        </w:rPr>
      </w:pPr>
    </w:p>
    <w:p w:rsidR="00B519E5" w:rsidRPr="00B519E5" w:rsidRDefault="00B519E5" w:rsidP="00B519E5">
      <w:pPr>
        <w:numPr>
          <w:ilvl w:val="0"/>
          <w:numId w:val="12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Efecto dosis-respuesta: Cuanto mayor es el tiempo y/o dosis de exposición al factor causal, mayor es el riesgo de enfermedad.</w:t>
      </w:r>
    </w:p>
    <w:p w:rsidR="00B519E5" w:rsidRPr="00B519E5" w:rsidRDefault="00B519E5" w:rsidP="00B519E5">
      <w:pPr>
        <w:spacing w:after="0" w:line="240" w:lineRule="auto"/>
        <w:rPr>
          <w:rFonts w:eastAsia="Times New Roman" w:cs="Times New Roman"/>
          <w:i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br/>
      </w:r>
      <w:r w:rsidRPr="00B519E5">
        <w:rPr>
          <w:rFonts w:eastAsia="Times New Roman" w:cs="Arial"/>
          <w:bCs/>
          <w:i/>
          <w:color w:val="333333"/>
          <w:shd w:val="clear" w:color="auto" w:fill="FFFFFF"/>
          <w:lang w:eastAsia="es-MX"/>
        </w:rPr>
        <w:t>De coherencia científica</w:t>
      </w:r>
    </w:p>
    <w:p w:rsidR="00B519E5" w:rsidRPr="00B519E5" w:rsidRDefault="00B519E5" w:rsidP="00B519E5">
      <w:pPr>
        <w:numPr>
          <w:ilvl w:val="0"/>
          <w:numId w:val="13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Consistencia: Los resultados de un estudio deben mantenerse constantes y ser reproducibles por cualquier investigador en cualquier lugar.</w:t>
      </w:r>
    </w:p>
    <w:p w:rsidR="00B519E5" w:rsidRPr="00B519E5" w:rsidRDefault="00B519E5" w:rsidP="00B519E5">
      <w:pPr>
        <w:shd w:val="clear" w:color="auto" w:fill="FFFFFF"/>
        <w:spacing w:after="0" w:line="360" w:lineRule="atLeast"/>
        <w:rPr>
          <w:rFonts w:eastAsia="Times New Roman" w:cs="Arial"/>
          <w:i/>
          <w:color w:val="333333"/>
          <w:lang w:eastAsia="es-MX"/>
        </w:rPr>
      </w:pPr>
    </w:p>
    <w:p w:rsidR="00B519E5" w:rsidRPr="00B519E5" w:rsidRDefault="00B519E5" w:rsidP="00B519E5">
      <w:pPr>
        <w:numPr>
          <w:ilvl w:val="0"/>
          <w:numId w:val="13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Plausibilidad biológica: La relación causal sugerida debe mantener la línea de los principios científicos aceptados en el momento, es decir, creemos más en una relación causal si conocemos su mecanismo patogénico.</w:t>
      </w:r>
    </w:p>
    <w:p w:rsidR="00B519E5" w:rsidRPr="00B519E5" w:rsidRDefault="00B519E5" w:rsidP="00B519E5">
      <w:pPr>
        <w:shd w:val="clear" w:color="auto" w:fill="FFFFFF"/>
        <w:spacing w:after="0" w:line="360" w:lineRule="atLeast"/>
        <w:rPr>
          <w:rFonts w:eastAsia="Times New Roman" w:cs="Arial"/>
          <w:i/>
          <w:color w:val="333333"/>
          <w:lang w:eastAsia="es-MX"/>
        </w:rPr>
      </w:pPr>
    </w:p>
    <w:p w:rsidR="00B519E5" w:rsidRPr="00B519E5" w:rsidRDefault="00B519E5" w:rsidP="00B519E5">
      <w:pPr>
        <w:numPr>
          <w:ilvl w:val="0"/>
          <w:numId w:val="13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Especificidad de asociación y analogía: Cierta especificidad (una causa conduce a un único efecto) aumenta la verosimilitud de la relación causal. Con analogía, nos referimos a que asociaciones causales similares pueden producir enfermedades similares.</w:t>
      </w:r>
    </w:p>
    <w:p w:rsidR="00B519E5" w:rsidRPr="00B519E5" w:rsidRDefault="00B519E5" w:rsidP="00B519E5">
      <w:pPr>
        <w:shd w:val="clear" w:color="auto" w:fill="FFFFFF"/>
        <w:spacing w:after="0" w:line="360" w:lineRule="atLeast"/>
        <w:rPr>
          <w:rFonts w:eastAsia="Times New Roman" w:cs="Arial"/>
          <w:i/>
          <w:color w:val="333333"/>
          <w:lang w:eastAsia="es-MX"/>
        </w:rPr>
      </w:pPr>
    </w:p>
    <w:p w:rsidR="00B519E5" w:rsidRPr="00B519E5" w:rsidRDefault="00B519E5" w:rsidP="00B519E5">
      <w:pPr>
        <w:numPr>
          <w:ilvl w:val="0"/>
          <w:numId w:val="13"/>
        </w:numPr>
        <w:shd w:val="clear" w:color="auto" w:fill="FFFFFF"/>
        <w:spacing w:after="120" w:line="360" w:lineRule="atLeast"/>
        <w:ind w:left="480"/>
        <w:rPr>
          <w:rFonts w:eastAsia="Times New Roman" w:cs="Arial"/>
          <w:i/>
          <w:color w:val="333333"/>
          <w:lang w:eastAsia="es-MX"/>
        </w:rPr>
      </w:pPr>
      <w:r w:rsidRPr="00B519E5">
        <w:rPr>
          <w:rFonts w:eastAsia="Times New Roman" w:cs="Arial"/>
          <w:i/>
          <w:color w:val="333333"/>
          <w:lang w:eastAsia="es-MX"/>
        </w:rPr>
        <w:t>Evidencia experimental: No siempre es posible realizar el estudio necesario, pero es la prueba más sólida de causalidad. En el caso de que no se pueda acceder a un ensayo clínico, hay quienes lo interpretan este punto en el sentido de que si un factor produce un efecto, éste debería cesar cuando desaparece el factor.</w:t>
      </w:r>
    </w:p>
    <w:p w:rsidR="005724CE" w:rsidRPr="00B519E5" w:rsidRDefault="005724CE" w:rsidP="005724CE">
      <w:pPr>
        <w:rPr>
          <w:bCs/>
          <w:i/>
        </w:rPr>
      </w:pPr>
    </w:p>
    <w:sectPr w:rsidR="005724CE" w:rsidRPr="00B51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B6" w:rsidRDefault="00386DB6" w:rsidP="00B519E5">
      <w:pPr>
        <w:spacing w:after="0" w:line="240" w:lineRule="auto"/>
      </w:pPr>
      <w:r>
        <w:separator/>
      </w:r>
    </w:p>
  </w:endnote>
  <w:endnote w:type="continuationSeparator" w:id="0">
    <w:p w:rsidR="00386DB6" w:rsidRDefault="00386DB6" w:rsidP="00B5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5" w:rsidRDefault="00B51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5" w:rsidRDefault="00B519E5">
    <w:pPr>
      <w:pStyle w:val="Piedepgina"/>
    </w:pPr>
    <w:r>
      <w:t xml:space="preserve">ALBERTO ARTURO ROUSSEAU CAMBEROS                                                                 LME3225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5" w:rsidRDefault="00B519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B6" w:rsidRDefault="00386DB6" w:rsidP="00B519E5">
      <w:pPr>
        <w:spacing w:after="0" w:line="240" w:lineRule="auto"/>
      </w:pPr>
      <w:r>
        <w:separator/>
      </w:r>
    </w:p>
  </w:footnote>
  <w:footnote w:type="continuationSeparator" w:id="0">
    <w:p w:rsidR="00386DB6" w:rsidRDefault="00386DB6" w:rsidP="00B5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5" w:rsidRDefault="00B51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5" w:rsidRDefault="00B519E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5" w:rsidRDefault="00B519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F99"/>
    <w:multiLevelType w:val="hybridMultilevel"/>
    <w:tmpl w:val="C2F230C8"/>
    <w:lvl w:ilvl="0" w:tplc="CCFEB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462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C9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8E0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C81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8E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87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0F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A2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6500F"/>
    <w:multiLevelType w:val="hybridMultilevel"/>
    <w:tmpl w:val="118A1FBA"/>
    <w:lvl w:ilvl="0" w:tplc="8C620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8A3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0D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8E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6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66A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D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8E4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A91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60494"/>
    <w:multiLevelType w:val="hybridMultilevel"/>
    <w:tmpl w:val="C232A356"/>
    <w:lvl w:ilvl="0" w:tplc="C7FE0E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27E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A9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847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0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CA8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6D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004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0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4317E"/>
    <w:multiLevelType w:val="hybridMultilevel"/>
    <w:tmpl w:val="EC0A0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5CBF"/>
    <w:multiLevelType w:val="hybridMultilevel"/>
    <w:tmpl w:val="874E4B74"/>
    <w:lvl w:ilvl="0" w:tplc="19E60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65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CDA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1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9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E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28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60B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E9B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E2434"/>
    <w:multiLevelType w:val="hybridMultilevel"/>
    <w:tmpl w:val="26CCDC4A"/>
    <w:lvl w:ilvl="0" w:tplc="C6E4C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65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E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FB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E49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9C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86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1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A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30030"/>
    <w:multiLevelType w:val="hybridMultilevel"/>
    <w:tmpl w:val="A0E894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2F68CE"/>
    <w:multiLevelType w:val="hybridMultilevel"/>
    <w:tmpl w:val="E0025C96"/>
    <w:lvl w:ilvl="0" w:tplc="3B220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27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DA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CE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E9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4A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21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4D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C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43E7C"/>
    <w:multiLevelType w:val="multilevel"/>
    <w:tmpl w:val="B214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E1CA8"/>
    <w:multiLevelType w:val="hybridMultilevel"/>
    <w:tmpl w:val="0A1EA2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A8276C"/>
    <w:multiLevelType w:val="hybridMultilevel"/>
    <w:tmpl w:val="24D0A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D8C"/>
    <w:multiLevelType w:val="multilevel"/>
    <w:tmpl w:val="BB0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868BD"/>
    <w:multiLevelType w:val="hybridMultilevel"/>
    <w:tmpl w:val="F47CC56C"/>
    <w:lvl w:ilvl="0" w:tplc="5AD8A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0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69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32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E6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C7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84B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09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6E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E"/>
    <w:rsid w:val="00064A25"/>
    <w:rsid w:val="00242B5D"/>
    <w:rsid w:val="002F4C1F"/>
    <w:rsid w:val="00386DB6"/>
    <w:rsid w:val="005724CE"/>
    <w:rsid w:val="0062098D"/>
    <w:rsid w:val="00942C5A"/>
    <w:rsid w:val="009A12C0"/>
    <w:rsid w:val="00B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5045B-E0BD-444F-B4E2-68BC1229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19E5"/>
  </w:style>
  <w:style w:type="character" w:styleId="nfasis">
    <w:name w:val="Emphasis"/>
    <w:basedOn w:val="Fuentedeprrafopredeter"/>
    <w:uiPriority w:val="20"/>
    <w:qFormat/>
    <w:rsid w:val="00B519E5"/>
    <w:rPr>
      <w:i/>
      <w:iCs/>
    </w:rPr>
  </w:style>
  <w:style w:type="character" w:styleId="Textoennegrita">
    <w:name w:val="Strong"/>
    <w:basedOn w:val="Fuentedeprrafopredeter"/>
    <w:uiPriority w:val="22"/>
    <w:qFormat/>
    <w:rsid w:val="00B519E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51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9E5"/>
  </w:style>
  <w:style w:type="paragraph" w:styleId="Piedepgina">
    <w:name w:val="footer"/>
    <w:basedOn w:val="Normal"/>
    <w:link w:val="PiedepginaCar"/>
    <w:uiPriority w:val="99"/>
    <w:unhideWhenUsed/>
    <w:rsid w:val="00B51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279">
          <w:marLeft w:val="907"/>
          <w:marRight w:val="0"/>
          <w:marTop w:val="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413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2">
          <w:marLeft w:val="90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467">
          <w:marLeft w:val="90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352">
          <w:marLeft w:val="907"/>
          <w:marRight w:val="0"/>
          <w:marTop w:val="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51">
          <w:marLeft w:val="907"/>
          <w:marRight w:val="0"/>
          <w:marTop w:val="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6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60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570">
          <w:marLeft w:val="907"/>
          <w:marRight w:val="0"/>
          <w:marTop w:val="6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Arturo Rousseau Camberos</dc:creator>
  <cp:keywords/>
  <dc:description/>
  <cp:lastModifiedBy>Alberto Arturo Rousseau Camberos</cp:lastModifiedBy>
  <cp:revision>2</cp:revision>
  <dcterms:created xsi:type="dcterms:W3CDTF">2014-08-31T17:36:00Z</dcterms:created>
  <dcterms:modified xsi:type="dcterms:W3CDTF">2014-08-31T18:05:00Z</dcterms:modified>
</cp:coreProperties>
</file>