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5F" w:rsidRPr="002F3453" w:rsidRDefault="00CF4032" w:rsidP="002F3453">
      <w:pPr>
        <w:spacing w:line="240" w:lineRule="auto"/>
        <w:rPr>
          <w:rFonts w:ascii="Arial" w:hAnsi="Arial" w:cs="Arial"/>
          <w:sz w:val="20"/>
          <w:szCs w:val="20"/>
        </w:rPr>
      </w:pPr>
      <w:r w:rsidRPr="002F3453">
        <w:rPr>
          <w:rFonts w:ascii="Arial" w:hAnsi="Arial" w:cs="Arial"/>
          <w:sz w:val="20"/>
          <w:szCs w:val="20"/>
        </w:rPr>
        <w:t>M</w:t>
      </w:r>
      <w:r w:rsidR="002F3453">
        <w:rPr>
          <w:rFonts w:ascii="Arial" w:hAnsi="Arial" w:cs="Arial"/>
          <w:sz w:val="20"/>
          <w:szCs w:val="20"/>
        </w:rPr>
        <w:t>uestra</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El muestreo es por lo tanto una herramienta de la investigación científica, cuya función básica es determinar que parte de una población debe examinarse, con la finalidad de hacer inferencias sobre dicha población.</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TIPOS DE MUESTREO</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Existen diferentes criterios de clasificación de los diferentes tipos de muestreo, aunque en general pueden dividirse en dos grandes grupos: métodos de muestreo probabilísticos y métodos de muestreo no probabilísticos.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I. Muestreo probabilístico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Los métodos de muestreo probabilísticos son aquellos que se basan en el principio de </w:t>
      </w:r>
      <w:proofErr w:type="spellStart"/>
      <w:r w:rsidRPr="002F3453">
        <w:rPr>
          <w:rFonts w:ascii="Arial" w:hAnsi="Arial" w:cs="Arial"/>
          <w:sz w:val="20"/>
          <w:szCs w:val="20"/>
        </w:rPr>
        <w:t>equiprobabilidad</w:t>
      </w:r>
      <w:proofErr w:type="spellEnd"/>
      <w:r w:rsidRPr="002F3453">
        <w:rPr>
          <w:rFonts w:ascii="Arial" w:hAnsi="Arial" w:cs="Arial"/>
          <w:sz w:val="20"/>
          <w:szCs w:val="20"/>
        </w:rPr>
        <w:t xml:space="preserve">. Es decir, aquellos en los que todos los individuos tienen la misma probabilidad de ser elegidos para formar parte de una muestra y, consiguientemente, todas las posibles muestras de tamaño n tienen la misma probabilidad de ser seleccionadas. Sólo estos métodos de muestreo probabilísticos nos aseguran la representatividad de la muestra extraída y son, por tanto, los más recomendables. Dentro de los métodos de muestreo probabilísticos encontramos los siguientes </w:t>
      </w:r>
    </w:p>
    <w:p w:rsidR="00CF4032" w:rsidRPr="002F3453" w:rsidRDefault="00CF4032" w:rsidP="002F3453">
      <w:pPr>
        <w:spacing w:line="240" w:lineRule="auto"/>
        <w:rPr>
          <w:rFonts w:ascii="Arial" w:hAnsi="Arial" w:cs="Arial"/>
          <w:sz w:val="20"/>
          <w:szCs w:val="20"/>
        </w:rPr>
      </w:pPr>
      <w:proofErr w:type="gramStart"/>
      <w:r w:rsidRPr="002F3453">
        <w:rPr>
          <w:rFonts w:ascii="Arial" w:hAnsi="Arial" w:cs="Arial"/>
          <w:sz w:val="20"/>
          <w:szCs w:val="20"/>
        </w:rPr>
        <w:t>tipos</w:t>
      </w:r>
      <w:proofErr w:type="gramEnd"/>
      <w:r w:rsidRPr="002F3453">
        <w:rPr>
          <w:rFonts w:ascii="Arial" w:hAnsi="Arial" w:cs="Arial"/>
          <w:sz w:val="20"/>
          <w:szCs w:val="20"/>
        </w:rPr>
        <w:t xml:space="preserve">: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1.- Muestreo aleatorio simple: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El procedimiento empleado es el siguiente: 1) se asigna un número a cada individuo de la población y 2) a través de algún medio mecánico (bolas dentro de una bolsa, tablas de números aleatorios, números aleatorios generados con una calculadora u ordenador, etc.) se eligen tantos sujetos como sea necesario para completar el tamaño de muestra requerido. Este procedimiento, atractivo por su simpleza, tiene poca o nula utilidad práctica cuando la población que estamos </w:t>
      </w:r>
      <w:proofErr w:type="gramStart"/>
      <w:r w:rsidRPr="002F3453">
        <w:rPr>
          <w:rFonts w:ascii="Arial" w:hAnsi="Arial" w:cs="Arial"/>
          <w:sz w:val="20"/>
          <w:szCs w:val="20"/>
        </w:rPr>
        <w:t>manejando</w:t>
      </w:r>
      <w:proofErr w:type="gramEnd"/>
      <w:r w:rsidRPr="002F3453">
        <w:rPr>
          <w:rFonts w:ascii="Arial" w:hAnsi="Arial" w:cs="Arial"/>
          <w:sz w:val="20"/>
          <w:szCs w:val="20"/>
        </w:rPr>
        <w:t xml:space="preserve"> es muy grande.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2.- Muestreo aleatorio sistemático: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Este procedimiento exige, como el anterior, numerar todos los elementos de la población, pero en lugar de extraer n números aleatorios sólo se extrae uno. Se parte de ese número aleatorio i, que es un número elegido al azar, y los elementos que integran la muestra son los que ocupa los lugares i, </w:t>
      </w:r>
      <w:proofErr w:type="spellStart"/>
      <w:r w:rsidRPr="002F3453">
        <w:rPr>
          <w:rFonts w:ascii="Arial" w:hAnsi="Arial" w:cs="Arial"/>
          <w:sz w:val="20"/>
          <w:szCs w:val="20"/>
        </w:rPr>
        <w:t>i+k</w:t>
      </w:r>
      <w:proofErr w:type="spellEnd"/>
      <w:r w:rsidRPr="002F3453">
        <w:rPr>
          <w:rFonts w:ascii="Arial" w:hAnsi="Arial" w:cs="Arial"/>
          <w:sz w:val="20"/>
          <w:szCs w:val="20"/>
        </w:rPr>
        <w:t>, i+2k, i+3k,...</w:t>
      </w:r>
      <w:proofErr w:type="gramStart"/>
      <w:r w:rsidRPr="002F3453">
        <w:rPr>
          <w:rFonts w:ascii="Arial" w:hAnsi="Arial" w:cs="Arial"/>
          <w:sz w:val="20"/>
          <w:szCs w:val="20"/>
        </w:rPr>
        <w:t>,i</w:t>
      </w:r>
      <w:proofErr w:type="gramEnd"/>
      <w:r w:rsidRPr="002F3453">
        <w:rPr>
          <w:rFonts w:ascii="Arial" w:hAnsi="Arial" w:cs="Arial"/>
          <w:sz w:val="20"/>
          <w:szCs w:val="20"/>
        </w:rPr>
        <w:t xml:space="preserve">+(n-1)k, es decir se toman los individuos de k en k, siendo k el resultado de dividir el tamaño de la población entre el tamaño de la muestra: k= N/n. El número i que empleamos como punto de partida será un número al azar entre 1 y k. El riesgo este tipo de muestreo está en los casos en que se dan periodicidades en la población ya que al elegir a los miembros de la muestra con una periodicidad constante (k) podemos introducir una homogeneidad que no se da en la población. Imaginemos que estamos seleccionando una muestra sobre listas de 10 individuos en los que los 5 primeros son varones y los 5 últimos mujeres, si empleamos un muestreo aleatorio sistemático con k=10 siempre seleccionaríamos o sólo hombres o sólo mujeres, no podría haber una representación de los dos sexos.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3.- Muestreo aleatorio estratificado: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Trata de obviar las dificultades que presentan los anteriores ya que simplifican los procesos y suelen reducir el error </w:t>
      </w:r>
      <w:proofErr w:type="spellStart"/>
      <w:r w:rsidRPr="002F3453">
        <w:rPr>
          <w:rFonts w:ascii="Arial" w:hAnsi="Arial" w:cs="Arial"/>
          <w:sz w:val="20"/>
          <w:szCs w:val="20"/>
        </w:rPr>
        <w:t>muestral</w:t>
      </w:r>
      <w:proofErr w:type="spellEnd"/>
      <w:r w:rsidRPr="002F3453">
        <w:rPr>
          <w:rFonts w:ascii="Arial" w:hAnsi="Arial" w:cs="Arial"/>
          <w:sz w:val="20"/>
          <w:szCs w:val="20"/>
        </w:rPr>
        <w:t xml:space="preserve"> para un tamaño dado de la muestra. Consiste en considerar categorías típicas diferentes entre sí (estratos) que poseen gran homogeneidad respecto a alguna característica (se puede estratificar, por ejemplo, según la profesión, el municipio de residencia, el sexo, el estado civil, etc.). Lo que se pretende con este tipo de muestreo es asegurarse de que todos los estratos de interés estarán representados adecuadamente en la muestra. Cada estrato funciona independientemente, pudiendo aplicarse dentro de ellos el muestreo aleatorio simple o el estratificado para elegir los elementos concretos que formarán parte de la muestra. En ocasiones </w:t>
      </w:r>
      <w:r w:rsidRPr="002F3453">
        <w:rPr>
          <w:rFonts w:ascii="Arial" w:hAnsi="Arial" w:cs="Arial"/>
          <w:sz w:val="20"/>
          <w:szCs w:val="20"/>
        </w:rPr>
        <w:lastRenderedPageBreak/>
        <w:t xml:space="preserve">las dificultades que plantean son demasiado grandes, pues exige un conocimiento detallado de la población. (Tamaño geográfico, sexos, edades,...).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La distribución de la muestra en función de los diferentes estratos se denomina afijación, y puede ser de diferentes tipos: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Afijación Simple: A cada estrato le corresponde igual número de elementos muéstrales.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Afijación Proporcional: La distribución se hace de acuerdo con el peso (tamaño) de la población </w:t>
      </w:r>
    </w:p>
    <w:p w:rsidR="00CF4032" w:rsidRPr="002F3453" w:rsidRDefault="00CF4032" w:rsidP="002F3453">
      <w:pPr>
        <w:spacing w:line="240" w:lineRule="auto"/>
        <w:rPr>
          <w:rFonts w:ascii="Arial" w:hAnsi="Arial" w:cs="Arial"/>
          <w:sz w:val="20"/>
          <w:szCs w:val="20"/>
        </w:rPr>
      </w:pPr>
      <w:proofErr w:type="gramStart"/>
      <w:r w:rsidRPr="002F3453">
        <w:rPr>
          <w:rFonts w:ascii="Arial" w:hAnsi="Arial" w:cs="Arial"/>
          <w:sz w:val="20"/>
          <w:szCs w:val="20"/>
        </w:rPr>
        <w:t>en</w:t>
      </w:r>
      <w:proofErr w:type="gramEnd"/>
      <w:r w:rsidRPr="002F3453">
        <w:rPr>
          <w:rFonts w:ascii="Arial" w:hAnsi="Arial" w:cs="Arial"/>
          <w:sz w:val="20"/>
          <w:szCs w:val="20"/>
        </w:rPr>
        <w:t xml:space="preserve"> cada estrato.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Afijación </w:t>
      </w:r>
      <w:proofErr w:type="gramStart"/>
      <w:r w:rsidRPr="002F3453">
        <w:rPr>
          <w:rFonts w:ascii="Arial" w:hAnsi="Arial" w:cs="Arial"/>
          <w:sz w:val="20"/>
          <w:szCs w:val="20"/>
        </w:rPr>
        <w:t>Optima</w:t>
      </w:r>
      <w:proofErr w:type="gramEnd"/>
      <w:r w:rsidRPr="002F3453">
        <w:rPr>
          <w:rFonts w:ascii="Arial" w:hAnsi="Arial" w:cs="Arial"/>
          <w:sz w:val="20"/>
          <w:szCs w:val="20"/>
        </w:rPr>
        <w:t xml:space="preserve">: Se tiene en cuenta la previsible dispersión de los resultados, de modo que se considera la proporción y la desviación típica. Tiene poca aplicación ya que no se suele conocer la desviación.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4.- Muestreo aleatorio por conglomerados: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Los métodos presentados hasta ahora están pensados para seleccionar directamente los elementos de la población, es decir, que las unidades muéstrales son los elementos de la población.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En el muestreo por conglomerados la unidad </w:t>
      </w:r>
      <w:proofErr w:type="spellStart"/>
      <w:r w:rsidRPr="002F3453">
        <w:rPr>
          <w:rFonts w:ascii="Arial" w:hAnsi="Arial" w:cs="Arial"/>
          <w:sz w:val="20"/>
          <w:szCs w:val="20"/>
        </w:rPr>
        <w:t>muestral</w:t>
      </w:r>
      <w:proofErr w:type="spellEnd"/>
      <w:r w:rsidRPr="002F3453">
        <w:rPr>
          <w:rFonts w:ascii="Arial" w:hAnsi="Arial" w:cs="Arial"/>
          <w:sz w:val="20"/>
          <w:szCs w:val="20"/>
        </w:rPr>
        <w:t xml:space="preserve"> es un grupo de elementos de la población que forman una unidad, a la que llamamos conglomerado. Las unidades hospitalarias, los departamentos universitarios, una caja de determinado producto, etc., son conglomerados naturales. En otras ocasiones se pueden utilizar conglomerados no naturales como, por ejemplo, las urnas electorales. Cuando los conglomerados son áreas geográficas suele hablarse de "muestreo por áreas".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El muestreo por conglomerados consiste en seleccionar aleatoriamente un cierto </w:t>
      </w:r>
      <w:proofErr w:type="spellStart"/>
      <w:r w:rsidRPr="002F3453">
        <w:rPr>
          <w:rFonts w:ascii="Arial" w:hAnsi="Arial" w:cs="Arial"/>
          <w:sz w:val="20"/>
          <w:szCs w:val="20"/>
        </w:rPr>
        <w:t>numero</w:t>
      </w:r>
      <w:proofErr w:type="spellEnd"/>
      <w:r w:rsidRPr="002F3453">
        <w:rPr>
          <w:rFonts w:ascii="Arial" w:hAnsi="Arial" w:cs="Arial"/>
          <w:sz w:val="20"/>
          <w:szCs w:val="20"/>
        </w:rPr>
        <w:t xml:space="preserve"> de conglomerados (el necesario para alcanzar el tamaño </w:t>
      </w:r>
      <w:proofErr w:type="spellStart"/>
      <w:r w:rsidRPr="002F3453">
        <w:rPr>
          <w:rFonts w:ascii="Arial" w:hAnsi="Arial" w:cs="Arial"/>
          <w:sz w:val="20"/>
          <w:szCs w:val="20"/>
        </w:rPr>
        <w:t>muestral</w:t>
      </w:r>
      <w:proofErr w:type="spellEnd"/>
      <w:r w:rsidRPr="002F3453">
        <w:rPr>
          <w:rFonts w:ascii="Arial" w:hAnsi="Arial" w:cs="Arial"/>
          <w:sz w:val="20"/>
          <w:szCs w:val="20"/>
        </w:rPr>
        <w:t xml:space="preserve"> establecido) y en investigar después todos los elementos pertenecientes a los conglomerados elegidos.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II. Métodos de muestreo no probabilísticos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A veces, para estudios exploratorios, el muestreo probabilístico resulta excesivamente costoso y se acude a métodos no probabilísticos, aun siendo conscientes de que no sirven para realizar generalizaciones (estimaciones </w:t>
      </w:r>
      <w:proofErr w:type="spellStart"/>
      <w:r w:rsidRPr="002F3453">
        <w:rPr>
          <w:rFonts w:ascii="Arial" w:hAnsi="Arial" w:cs="Arial"/>
          <w:sz w:val="20"/>
          <w:szCs w:val="20"/>
        </w:rPr>
        <w:t>inferenciales</w:t>
      </w:r>
      <w:proofErr w:type="spellEnd"/>
      <w:r w:rsidRPr="002F3453">
        <w:rPr>
          <w:rFonts w:ascii="Arial" w:hAnsi="Arial" w:cs="Arial"/>
          <w:sz w:val="20"/>
          <w:szCs w:val="20"/>
        </w:rPr>
        <w:t xml:space="preserve"> sobre la población), pues no se tiene certeza de que la muestra extraída sea representativa, ya que no todos los sujetos de la población tienen la misma probabilidad de </w:t>
      </w:r>
      <w:proofErr w:type="spellStart"/>
      <w:r w:rsidRPr="002F3453">
        <w:rPr>
          <w:rFonts w:ascii="Arial" w:hAnsi="Arial" w:cs="Arial"/>
          <w:sz w:val="20"/>
          <w:szCs w:val="20"/>
        </w:rPr>
        <w:t>se</w:t>
      </w:r>
      <w:proofErr w:type="spellEnd"/>
      <w:r w:rsidRPr="002F3453">
        <w:rPr>
          <w:rFonts w:ascii="Arial" w:hAnsi="Arial" w:cs="Arial"/>
          <w:sz w:val="20"/>
          <w:szCs w:val="20"/>
        </w:rPr>
        <w:t xml:space="preserve"> elegidos. En general se seleccionan a los sujetos siguiendo determinados criterios procurando, en la medida de lo posible, que la muestra sea representativa.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En algunas circunstancias los métodos estadísticos y epidemiológicos permiten resolver los problemas de representatividad aun en situaciones de muestreo no probabilístico, por ejemplo los estudios de caso-control, donde los casos no son seleccionados aleatoriamente de la población.</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Entre los métodos de muestreo no probabilísticos más utilizados en investigación encontramos: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1.- Muestreo por cuotas: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También denominado en ocasiones "accidental". Se asienta generalmente sobre la base de un buen conocimiento de los estratos de la población y/o de los individuos más "representativos" o "adecuados" para los fines de la investigación. Mantiene, por tanto, semejanzas con el muestreo aleatorio estratificado, pero no tiene el carácter de aleatoriedad de aquél.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En este tipo de muestreo se fijan unas "cuotas" que consisten en un número de individuos que reúnen unas determinadas condiciones, por ejemplo: 20 individuos de 25 a 40 años, de sexo femenino y residentes en Gijón. Una vez determinada la cuota se eligen los primeros que se </w:t>
      </w:r>
      <w:r w:rsidRPr="002F3453">
        <w:rPr>
          <w:rFonts w:ascii="Arial" w:hAnsi="Arial" w:cs="Arial"/>
          <w:sz w:val="20"/>
          <w:szCs w:val="20"/>
        </w:rPr>
        <w:lastRenderedPageBreak/>
        <w:t xml:space="preserve">encuentren que cumplan esas características. Este método se utiliza mucho en las encuestas de opinión.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2.- Muestreo intencional o de conveniencia: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Este tipo de muestreo se caracteriza por un esfuerzo deliberado de obtener muestras "representativas" mediante la inclusión en la muestra de grupos supuestamente típicos. Es muy frecuente su utilización en sondeos preelectorales de zonas que en anteriores votaciones han marcado tendencias de voto.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También puede ser que el investigador seleccione directa e intencionadamente los individuos de la población. El caso más frecuente de este procedimiento el utilizar como muestra los individuos a los que se tiene fácil acceso (los profesores de universidad emplean con mucha frecuencia a sus propios alumnos).</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 3.- Bola de nieve: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Se localiza a algunos individuos, los cuales conducen a otros, y estos a otros, y así hasta conseguir una muestra suficiente. Este tipo se emplea muy frecuentemente cuando se hacen estudios con poblaciones "marginales", delincuentes, sectas, determinados tipos de enfermos, etc. </w:t>
      </w:r>
    </w:p>
    <w:p w:rsidR="00CF4032" w:rsidRPr="002F3453" w:rsidRDefault="00CF4032" w:rsidP="002F3453">
      <w:pPr>
        <w:spacing w:line="240" w:lineRule="auto"/>
        <w:rPr>
          <w:rFonts w:ascii="Arial" w:hAnsi="Arial" w:cs="Arial"/>
          <w:sz w:val="20"/>
          <w:szCs w:val="20"/>
        </w:rPr>
      </w:pPr>
      <w:r w:rsidRPr="002F3453">
        <w:rPr>
          <w:rFonts w:ascii="Arial" w:hAnsi="Arial" w:cs="Arial"/>
          <w:sz w:val="20"/>
          <w:szCs w:val="20"/>
        </w:rPr>
        <w:t xml:space="preserve">4.- Muestreo Discrecional · A criterio del investigador los elementos son elegidos sobre lo que él </w:t>
      </w:r>
    </w:p>
    <w:p w:rsidR="00CF4032" w:rsidRPr="002F3453" w:rsidRDefault="00CF4032" w:rsidP="002F3453">
      <w:pPr>
        <w:spacing w:line="240" w:lineRule="auto"/>
        <w:rPr>
          <w:rFonts w:ascii="Arial" w:hAnsi="Arial" w:cs="Arial"/>
          <w:sz w:val="20"/>
          <w:szCs w:val="20"/>
        </w:rPr>
      </w:pPr>
      <w:proofErr w:type="gramStart"/>
      <w:r w:rsidRPr="002F3453">
        <w:rPr>
          <w:rFonts w:ascii="Arial" w:hAnsi="Arial" w:cs="Arial"/>
          <w:sz w:val="20"/>
          <w:szCs w:val="20"/>
        </w:rPr>
        <w:t>cree</w:t>
      </w:r>
      <w:proofErr w:type="gramEnd"/>
      <w:r w:rsidRPr="002F3453">
        <w:rPr>
          <w:rFonts w:ascii="Arial" w:hAnsi="Arial" w:cs="Arial"/>
          <w:sz w:val="20"/>
          <w:szCs w:val="20"/>
        </w:rPr>
        <w:t xml:space="preserve"> que pueden aportar al estudio.</w:t>
      </w:r>
    </w:p>
    <w:p w:rsidR="00CF4032" w:rsidRPr="002F3453" w:rsidRDefault="00CF4032" w:rsidP="002F3453">
      <w:pPr>
        <w:spacing w:line="240" w:lineRule="auto"/>
        <w:rPr>
          <w:rFonts w:ascii="Arial" w:hAnsi="Arial" w:cs="Arial"/>
          <w:sz w:val="20"/>
          <w:szCs w:val="20"/>
        </w:rPr>
      </w:pPr>
    </w:p>
    <w:p w:rsidR="00CF4032" w:rsidRPr="00CF4032" w:rsidRDefault="00CF4032" w:rsidP="002F3453">
      <w:pPr>
        <w:shd w:val="clear" w:color="auto" w:fill="FFFFFF"/>
        <w:spacing w:before="100" w:beforeAutospacing="1" w:after="100" w:afterAutospacing="1" w:line="240" w:lineRule="auto"/>
        <w:rPr>
          <w:rFonts w:ascii="Arial" w:eastAsia="Times New Roman" w:hAnsi="Arial" w:cs="Arial"/>
          <w:sz w:val="20"/>
          <w:szCs w:val="20"/>
          <w:lang w:eastAsia="es-MX"/>
        </w:rPr>
      </w:pPr>
      <w:r w:rsidRPr="00CF4032">
        <w:rPr>
          <w:rFonts w:ascii="Arial" w:eastAsia="Times New Roman" w:hAnsi="Arial" w:cs="Arial"/>
          <w:bCs/>
          <w:sz w:val="20"/>
          <w:szCs w:val="20"/>
          <w:lang w:eastAsia="es-MX"/>
        </w:rPr>
        <w:t>Clasificación de tipos de sesgos</w:t>
      </w:r>
      <w:bookmarkStart w:id="0" w:name="1"/>
      <w:bookmarkEnd w:id="0"/>
      <w:r w:rsidRPr="00CF4032">
        <w:rPr>
          <w:rFonts w:ascii="Arial" w:eastAsia="Times New Roman" w:hAnsi="Arial" w:cs="Arial"/>
          <w:sz w:val="20"/>
          <w:szCs w:val="20"/>
          <w:lang w:eastAsia="es-MX"/>
        </w:rPr>
        <w:br/>
        <w:t>Existen diferentes tipos de sesgos, la mayor parte de los cuales pueden agruparse sistematizarse en los siguientes tipos</w:t>
      </w:r>
      <w:r w:rsidR="007F5885" w:rsidRPr="002F3453">
        <w:rPr>
          <w:rFonts w:ascii="Arial" w:eastAsia="Times New Roman" w:hAnsi="Arial" w:cs="Arial"/>
          <w:sz w:val="20"/>
          <w:szCs w:val="20"/>
          <w:lang w:eastAsia="es-MX"/>
        </w:rPr>
        <w:t>:</w:t>
      </w:r>
    </w:p>
    <w:p w:rsidR="00CF4032" w:rsidRPr="00CF4032" w:rsidRDefault="00CF4032" w:rsidP="002F345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s-MX"/>
        </w:rPr>
      </w:pPr>
      <w:r w:rsidRPr="00CF4032">
        <w:rPr>
          <w:rFonts w:ascii="Arial" w:eastAsia="Times New Roman" w:hAnsi="Arial" w:cs="Arial"/>
          <w:sz w:val="20"/>
          <w:szCs w:val="20"/>
          <w:lang w:eastAsia="es-MX"/>
        </w:rPr>
        <w:t>Sesgos de: Medición</w:t>
      </w:r>
    </w:p>
    <w:p w:rsidR="00CF4032" w:rsidRPr="002F3453" w:rsidRDefault="00CF4032" w:rsidP="002F3453">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s-MX"/>
        </w:rPr>
      </w:pPr>
      <w:r w:rsidRPr="00CF4032">
        <w:rPr>
          <w:rFonts w:ascii="Arial" w:eastAsia="Times New Roman" w:hAnsi="Arial" w:cs="Arial"/>
          <w:sz w:val="20"/>
          <w:szCs w:val="20"/>
          <w:lang w:eastAsia="es-MX"/>
        </w:rPr>
        <w:t>Sesgos de : Selección</w:t>
      </w:r>
    </w:p>
    <w:p w:rsidR="007F5885" w:rsidRPr="002F3453" w:rsidRDefault="007F5885" w:rsidP="002F3453">
      <w:pPr>
        <w:pStyle w:val="NormalWeb"/>
        <w:numPr>
          <w:ilvl w:val="0"/>
          <w:numId w:val="1"/>
        </w:numPr>
        <w:shd w:val="clear" w:color="auto" w:fill="FFFFFF"/>
        <w:rPr>
          <w:rFonts w:ascii="Arial" w:hAnsi="Arial" w:cs="Arial"/>
          <w:sz w:val="20"/>
          <w:szCs w:val="20"/>
        </w:rPr>
      </w:pPr>
      <w:r w:rsidRPr="002F3453">
        <w:rPr>
          <w:rFonts w:ascii="Arial" w:hAnsi="Arial" w:cs="Arial"/>
          <w:bCs/>
          <w:sz w:val="20"/>
          <w:szCs w:val="20"/>
        </w:rPr>
        <w:t>Sesgos de selección</w:t>
      </w:r>
    </w:p>
    <w:p w:rsidR="007F5885" w:rsidRPr="002F3453" w:rsidRDefault="007F5885" w:rsidP="002F3453">
      <w:pPr>
        <w:pStyle w:val="NormalWeb"/>
        <w:shd w:val="clear" w:color="auto" w:fill="FFFFFF"/>
        <w:rPr>
          <w:rStyle w:val="apple-converted-space"/>
          <w:rFonts w:ascii="Arial" w:hAnsi="Arial" w:cs="Arial"/>
          <w:sz w:val="20"/>
          <w:szCs w:val="20"/>
        </w:rPr>
      </w:pPr>
      <w:r w:rsidRPr="002F3453">
        <w:rPr>
          <w:rFonts w:ascii="Arial" w:hAnsi="Arial" w:cs="Arial"/>
          <w:sz w:val="20"/>
          <w:szCs w:val="20"/>
        </w:rPr>
        <w:t xml:space="preserve">Sesgo de </w:t>
      </w:r>
      <w:proofErr w:type="spellStart"/>
      <w:r w:rsidRPr="002F3453">
        <w:rPr>
          <w:rFonts w:ascii="Arial" w:hAnsi="Arial" w:cs="Arial"/>
          <w:sz w:val="20"/>
          <w:szCs w:val="20"/>
        </w:rPr>
        <w:t>Neymann</w:t>
      </w:r>
      <w:proofErr w:type="spellEnd"/>
      <w:r w:rsidRPr="002F3453">
        <w:rPr>
          <w:rFonts w:ascii="Arial" w:hAnsi="Arial" w:cs="Arial"/>
          <w:sz w:val="20"/>
          <w:szCs w:val="20"/>
        </w:rPr>
        <w:t xml:space="preserve"> (de prevalencia o incidencia):</w:t>
      </w:r>
      <w:r w:rsidRPr="002F3453">
        <w:rPr>
          <w:rFonts w:ascii="Arial" w:hAnsi="Arial" w:cs="Arial"/>
          <w:sz w:val="20"/>
          <w:szCs w:val="20"/>
        </w:rPr>
        <w:br/>
        <w:t>Se produce cuando la condición en estudio determina pérdida prematura por fallecimiento de los sujetos afectados por ella.</w:t>
      </w:r>
      <w:r w:rsidRPr="002F3453">
        <w:rPr>
          <w:rStyle w:val="apple-converted-space"/>
          <w:rFonts w:ascii="Arial" w:hAnsi="Arial" w:cs="Arial"/>
          <w:sz w:val="20"/>
          <w:szCs w:val="20"/>
        </w:rPr>
        <w:t> </w:t>
      </w:r>
    </w:p>
    <w:p w:rsidR="007F5885" w:rsidRPr="002F3453" w:rsidRDefault="007F5885" w:rsidP="002F3453">
      <w:pPr>
        <w:pStyle w:val="NormalWeb"/>
        <w:shd w:val="clear" w:color="auto" w:fill="FFFFFF"/>
        <w:rPr>
          <w:rStyle w:val="apple-converted-space"/>
          <w:rFonts w:ascii="Arial" w:hAnsi="Arial" w:cs="Arial"/>
          <w:sz w:val="20"/>
          <w:szCs w:val="20"/>
          <w:shd w:val="clear" w:color="auto" w:fill="FFFFFF"/>
        </w:rPr>
      </w:pPr>
      <w:r w:rsidRPr="002F3453">
        <w:rPr>
          <w:rStyle w:val="apple-converted-space"/>
          <w:rFonts w:ascii="Arial" w:hAnsi="Arial" w:cs="Arial"/>
          <w:sz w:val="20"/>
          <w:szCs w:val="20"/>
          <w:shd w:val="clear" w:color="auto" w:fill="FFFFFF"/>
        </w:rPr>
        <w:t> </w:t>
      </w:r>
      <w:r w:rsidRPr="002F3453">
        <w:rPr>
          <w:rFonts w:ascii="Arial" w:hAnsi="Arial" w:cs="Arial"/>
          <w:sz w:val="20"/>
          <w:szCs w:val="20"/>
          <w:shd w:val="clear" w:color="auto" w:fill="FFFFFF"/>
        </w:rPr>
        <w:t xml:space="preserve">Sesgo de </w:t>
      </w:r>
      <w:proofErr w:type="spellStart"/>
      <w:r w:rsidRPr="002F3453">
        <w:rPr>
          <w:rFonts w:ascii="Arial" w:hAnsi="Arial" w:cs="Arial"/>
          <w:sz w:val="20"/>
          <w:szCs w:val="20"/>
          <w:shd w:val="clear" w:color="auto" w:fill="FFFFFF"/>
        </w:rPr>
        <w:t>Berkson</w:t>
      </w:r>
      <w:proofErr w:type="spellEnd"/>
      <w:r w:rsidRPr="002F3453">
        <w:rPr>
          <w:rFonts w:ascii="Arial" w:hAnsi="Arial" w:cs="Arial"/>
          <w:sz w:val="20"/>
          <w:szCs w:val="20"/>
          <w:shd w:val="clear" w:color="auto" w:fill="FFFFFF"/>
        </w:rPr>
        <w:t xml:space="preserve"> (de admisión).</w:t>
      </w:r>
      <w:r w:rsidRPr="002F3453">
        <w:rPr>
          <w:rStyle w:val="apple-converted-space"/>
          <w:rFonts w:ascii="Arial" w:hAnsi="Arial" w:cs="Arial"/>
          <w:sz w:val="20"/>
          <w:szCs w:val="20"/>
          <w:shd w:val="clear" w:color="auto" w:fill="FFFFFF"/>
        </w:rPr>
        <w:t> </w:t>
      </w:r>
      <w:r w:rsidRPr="002F3453">
        <w:rPr>
          <w:rFonts w:ascii="Arial" w:hAnsi="Arial" w:cs="Arial"/>
          <w:sz w:val="20"/>
          <w:szCs w:val="20"/>
        </w:rPr>
        <w:br/>
      </w:r>
      <w:r w:rsidRPr="002F3453">
        <w:rPr>
          <w:rFonts w:ascii="Arial" w:hAnsi="Arial" w:cs="Arial"/>
          <w:sz w:val="20"/>
          <w:szCs w:val="20"/>
          <w:shd w:val="clear" w:color="auto" w:fill="FFFFFF"/>
        </w:rPr>
        <w:t xml:space="preserve">Este sesgo, conocido como "falacia de </w:t>
      </w:r>
      <w:proofErr w:type="spellStart"/>
      <w:r w:rsidRPr="002F3453">
        <w:rPr>
          <w:rFonts w:ascii="Arial" w:hAnsi="Arial" w:cs="Arial"/>
          <w:sz w:val="20"/>
          <w:szCs w:val="20"/>
          <w:shd w:val="clear" w:color="auto" w:fill="FFFFFF"/>
        </w:rPr>
        <w:t>Berkson</w:t>
      </w:r>
      <w:proofErr w:type="spellEnd"/>
      <w:r w:rsidRPr="002F3453">
        <w:rPr>
          <w:rFonts w:ascii="Arial" w:hAnsi="Arial" w:cs="Arial"/>
          <w:sz w:val="20"/>
          <w:szCs w:val="20"/>
          <w:shd w:val="clear" w:color="auto" w:fill="FFFFFF"/>
        </w:rPr>
        <w:t>", fue descrito en 1946 a partir de la existencia de asociación negativa entre cáncer (variable dependiente) y tuberculosis pulmonar. En este estudio, los pacientes casos correspondieron a pacientes con cáncer y sus controles fueron obtenidos a partir de pacientes hospitalizados por otras causas.</w:t>
      </w:r>
      <w:r w:rsidRPr="002F3453">
        <w:rPr>
          <w:rStyle w:val="apple-converted-space"/>
          <w:rFonts w:ascii="Arial" w:hAnsi="Arial" w:cs="Arial"/>
          <w:sz w:val="20"/>
          <w:szCs w:val="20"/>
          <w:shd w:val="clear" w:color="auto" w:fill="FFFFFF"/>
        </w:rPr>
        <w:t> </w:t>
      </w:r>
    </w:p>
    <w:p w:rsidR="007F5885" w:rsidRPr="002F3453" w:rsidRDefault="007F5885" w:rsidP="002F3453">
      <w:pPr>
        <w:pStyle w:val="NormalWeb"/>
        <w:shd w:val="clear" w:color="auto" w:fill="FFFFFF"/>
        <w:rPr>
          <w:rFonts w:ascii="Arial" w:hAnsi="Arial" w:cs="Arial"/>
          <w:sz w:val="20"/>
          <w:szCs w:val="20"/>
          <w:shd w:val="clear" w:color="auto" w:fill="FFFFFF"/>
        </w:rPr>
      </w:pPr>
      <w:r w:rsidRPr="002F3453">
        <w:rPr>
          <w:rStyle w:val="apple-converted-space"/>
          <w:rFonts w:ascii="Arial" w:hAnsi="Arial" w:cs="Arial"/>
          <w:sz w:val="20"/>
          <w:szCs w:val="20"/>
          <w:shd w:val="clear" w:color="auto" w:fill="FFFFFF"/>
        </w:rPr>
        <w:t> </w:t>
      </w:r>
      <w:r w:rsidRPr="002F3453">
        <w:rPr>
          <w:rFonts w:ascii="Arial" w:hAnsi="Arial" w:cs="Arial"/>
          <w:sz w:val="20"/>
          <w:szCs w:val="20"/>
          <w:shd w:val="clear" w:color="auto" w:fill="FFFFFF"/>
        </w:rPr>
        <w:t>Sesgo de no respuesta o efecto del voluntario.</w:t>
      </w:r>
      <w:r w:rsidRPr="002F3453">
        <w:rPr>
          <w:rStyle w:val="apple-converted-space"/>
          <w:rFonts w:ascii="Arial" w:hAnsi="Arial" w:cs="Arial"/>
          <w:sz w:val="20"/>
          <w:szCs w:val="20"/>
          <w:shd w:val="clear" w:color="auto" w:fill="FFFFFF"/>
        </w:rPr>
        <w:t> </w:t>
      </w:r>
      <w:r w:rsidRPr="002F3453">
        <w:rPr>
          <w:rFonts w:ascii="Arial" w:hAnsi="Arial" w:cs="Arial"/>
          <w:sz w:val="20"/>
          <w:szCs w:val="20"/>
        </w:rPr>
        <w:br/>
      </w:r>
      <w:r w:rsidRPr="002F3453">
        <w:rPr>
          <w:rFonts w:ascii="Arial" w:hAnsi="Arial" w:cs="Arial"/>
          <w:sz w:val="20"/>
          <w:szCs w:val="20"/>
          <w:shd w:val="clear" w:color="auto" w:fill="FFFFFF"/>
        </w:rPr>
        <w:t>El grado de interés o motivación que pueda tener un individuo que participa voluntariamente en una investigación puede diferir sensiblemente en relación con otros sujetos. En el primer caso puede existir por ejemplo un mayor compromiso o motivación con respecto a la información solicitada. Igualmente, la negativa de algunos sujetos para ser incluidos en un estudio puede estar dada por motivaciones sistemáticas experimentadas por ellos.</w:t>
      </w:r>
    </w:p>
    <w:p w:rsidR="007F5885" w:rsidRPr="002F3453" w:rsidRDefault="007F5885" w:rsidP="002F3453">
      <w:pPr>
        <w:pStyle w:val="NormalWeb"/>
        <w:shd w:val="clear" w:color="auto" w:fill="FFFFFF"/>
        <w:rPr>
          <w:rStyle w:val="apple-converted-space"/>
          <w:rFonts w:ascii="Arial" w:hAnsi="Arial" w:cs="Arial"/>
          <w:sz w:val="20"/>
          <w:szCs w:val="20"/>
          <w:shd w:val="clear" w:color="auto" w:fill="FFFFFF"/>
        </w:rPr>
      </w:pPr>
      <w:r w:rsidRPr="002F3453">
        <w:rPr>
          <w:rStyle w:val="apple-converted-space"/>
          <w:rFonts w:ascii="Arial" w:hAnsi="Arial" w:cs="Arial"/>
          <w:sz w:val="20"/>
          <w:szCs w:val="20"/>
          <w:shd w:val="clear" w:color="auto" w:fill="FFFFFF"/>
        </w:rPr>
        <w:t> </w:t>
      </w:r>
      <w:r w:rsidRPr="002F3453">
        <w:rPr>
          <w:rFonts w:ascii="Arial" w:hAnsi="Arial" w:cs="Arial"/>
          <w:sz w:val="20"/>
          <w:szCs w:val="20"/>
          <w:shd w:val="clear" w:color="auto" w:fill="FFFFFF"/>
        </w:rPr>
        <w:t xml:space="preserve">Sesgo de </w:t>
      </w:r>
      <w:proofErr w:type="spellStart"/>
      <w:r w:rsidRPr="002F3453">
        <w:rPr>
          <w:rFonts w:ascii="Arial" w:hAnsi="Arial" w:cs="Arial"/>
          <w:sz w:val="20"/>
          <w:szCs w:val="20"/>
          <w:shd w:val="clear" w:color="auto" w:fill="FFFFFF"/>
        </w:rPr>
        <w:t>membresía</w:t>
      </w:r>
      <w:proofErr w:type="spellEnd"/>
      <w:r w:rsidRPr="002F3453">
        <w:rPr>
          <w:rFonts w:ascii="Arial" w:hAnsi="Arial" w:cs="Arial"/>
          <w:sz w:val="20"/>
          <w:szCs w:val="20"/>
          <w:shd w:val="clear" w:color="auto" w:fill="FFFFFF"/>
        </w:rPr>
        <w:t xml:space="preserve"> (o de pertenencia)</w:t>
      </w:r>
      <w:r w:rsidRPr="002F3453">
        <w:rPr>
          <w:rStyle w:val="apple-converted-space"/>
          <w:rFonts w:ascii="Arial" w:hAnsi="Arial" w:cs="Arial"/>
          <w:sz w:val="20"/>
          <w:szCs w:val="20"/>
          <w:shd w:val="clear" w:color="auto" w:fill="FFFFFF"/>
        </w:rPr>
        <w:t> </w:t>
      </w:r>
      <w:r w:rsidRPr="002F3453">
        <w:rPr>
          <w:rFonts w:ascii="Arial" w:hAnsi="Arial" w:cs="Arial"/>
          <w:sz w:val="20"/>
          <w:szCs w:val="20"/>
        </w:rPr>
        <w:br/>
      </w:r>
      <w:r w:rsidRPr="002F3453">
        <w:rPr>
          <w:rFonts w:ascii="Arial" w:hAnsi="Arial" w:cs="Arial"/>
          <w:sz w:val="20"/>
          <w:szCs w:val="20"/>
          <w:shd w:val="clear" w:color="auto" w:fill="FFFFFF"/>
        </w:rPr>
        <w:t xml:space="preserve">Se produce cuando entre los sujetos evaluados se presentan subgrupos de sujetos que comparten algún atributo en particular, relacionado positiva o negativamente con la variable en estudio. Por ejemplo, el perfil de hábitos y costumbres de vida de los médicos puede diferir sensiblemente al de </w:t>
      </w:r>
      <w:r w:rsidRPr="002F3453">
        <w:rPr>
          <w:rFonts w:ascii="Arial" w:hAnsi="Arial" w:cs="Arial"/>
          <w:sz w:val="20"/>
          <w:szCs w:val="20"/>
          <w:shd w:val="clear" w:color="auto" w:fill="FFFFFF"/>
        </w:rPr>
        <w:lastRenderedPageBreak/>
        <w:t>la población general, de tal manera que incorporar una gran cantidad de sujetos con esta profesión en un estudio puede determinar hallazgos condicionados por este factor</w:t>
      </w:r>
      <w:r w:rsidRPr="002F3453">
        <w:rPr>
          <w:rStyle w:val="apple-converted-space"/>
          <w:rFonts w:ascii="Arial" w:hAnsi="Arial" w:cs="Arial"/>
          <w:sz w:val="20"/>
          <w:szCs w:val="20"/>
          <w:shd w:val="clear" w:color="auto" w:fill="FFFFFF"/>
        </w:rPr>
        <w:t> </w:t>
      </w:r>
    </w:p>
    <w:p w:rsidR="002F3453" w:rsidRPr="002F3453" w:rsidRDefault="002F3453" w:rsidP="002F3453">
      <w:pPr>
        <w:pStyle w:val="NormalWeb"/>
        <w:shd w:val="clear" w:color="auto" w:fill="FFFFFF"/>
        <w:rPr>
          <w:rFonts w:ascii="Arial" w:hAnsi="Arial" w:cs="Arial"/>
          <w:sz w:val="20"/>
          <w:szCs w:val="20"/>
          <w:shd w:val="clear" w:color="auto" w:fill="FFFFFF"/>
        </w:rPr>
      </w:pPr>
      <w:r w:rsidRPr="002F3453">
        <w:rPr>
          <w:rFonts w:ascii="Arial" w:hAnsi="Arial" w:cs="Arial"/>
          <w:sz w:val="20"/>
          <w:szCs w:val="20"/>
          <w:shd w:val="clear" w:color="auto" w:fill="FFFFFF"/>
        </w:rPr>
        <w:t>Sesgo del procedimiento de selección</w:t>
      </w:r>
      <w:r w:rsidRPr="002F3453">
        <w:rPr>
          <w:rStyle w:val="apple-converted-space"/>
          <w:rFonts w:ascii="Arial" w:hAnsi="Arial" w:cs="Arial"/>
          <w:sz w:val="20"/>
          <w:szCs w:val="20"/>
          <w:shd w:val="clear" w:color="auto" w:fill="FFFFFF"/>
        </w:rPr>
        <w:t> </w:t>
      </w:r>
      <w:r w:rsidRPr="002F3453">
        <w:rPr>
          <w:rFonts w:ascii="Arial" w:hAnsi="Arial" w:cs="Arial"/>
          <w:sz w:val="20"/>
          <w:szCs w:val="20"/>
        </w:rPr>
        <w:br/>
      </w:r>
      <w:r w:rsidRPr="002F3453">
        <w:rPr>
          <w:rFonts w:ascii="Arial" w:hAnsi="Arial" w:cs="Arial"/>
          <w:sz w:val="20"/>
          <w:szCs w:val="20"/>
          <w:shd w:val="clear" w:color="auto" w:fill="FFFFFF"/>
        </w:rPr>
        <w:t>Puede observarse en diseños de investigación experimentales (ensayos clínicos controlados), en los cuales no se respeta el principio de aleatoriedad en la asignación a los grupos de experimentación y de estudio.</w:t>
      </w:r>
    </w:p>
    <w:p w:rsidR="002F3453" w:rsidRPr="002F3453" w:rsidRDefault="002F3453" w:rsidP="002F3453">
      <w:pPr>
        <w:pStyle w:val="NormalWeb"/>
        <w:shd w:val="clear" w:color="auto" w:fill="FFFFFF"/>
        <w:rPr>
          <w:rFonts w:ascii="Arial" w:hAnsi="Arial" w:cs="Arial"/>
          <w:sz w:val="20"/>
          <w:szCs w:val="20"/>
          <w:shd w:val="clear" w:color="auto" w:fill="FFFFFF"/>
        </w:rPr>
      </w:pPr>
    </w:p>
    <w:p w:rsidR="002F3453" w:rsidRPr="002F3453" w:rsidRDefault="002F3453" w:rsidP="002F3453">
      <w:pPr>
        <w:pStyle w:val="NormalWeb"/>
        <w:shd w:val="clear" w:color="auto" w:fill="FFFFFF"/>
        <w:rPr>
          <w:rFonts w:ascii="Arial" w:hAnsi="Arial" w:cs="Arial"/>
          <w:sz w:val="20"/>
          <w:szCs w:val="20"/>
        </w:rPr>
      </w:pPr>
      <w:r w:rsidRPr="002F3453">
        <w:rPr>
          <w:rFonts w:ascii="Arial" w:hAnsi="Arial" w:cs="Arial"/>
          <w:bCs/>
          <w:sz w:val="20"/>
          <w:szCs w:val="20"/>
        </w:rPr>
        <w:t>Sesgos de medición</w:t>
      </w:r>
    </w:p>
    <w:p w:rsidR="002F3453" w:rsidRPr="002F3453" w:rsidRDefault="002F3453" w:rsidP="002F3453">
      <w:pPr>
        <w:pStyle w:val="NormalWeb"/>
        <w:shd w:val="clear" w:color="auto" w:fill="FFFFFF"/>
        <w:rPr>
          <w:rFonts w:ascii="Arial" w:hAnsi="Arial" w:cs="Arial"/>
          <w:sz w:val="20"/>
          <w:szCs w:val="20"/>
        </w:rPr>
      </w:pPr>
      <w:r w:rsidRPr="002F3453">
        <w:rPr>
          <w:rFonts w:ascii="Arial" w:hAnsi="Arial" w:cs="Arial"/>
          <w:sz w:val="20"/>
          <w:szCs w:val="20"/>
        </w:rPr>
        <w:t>1) Sesgo de procedimientos: (</w:t>
      </w:r>
      <w:proofErr w:type="spellStart"/>
      <w:r w:rsidRPr="002F3453">
        <w:rPr>
          <w:rFonts w:ascii="Arial" w:hAnsi="Arial" w:cs="Arial"/>
          <w:sz w:val="20"/>
          <w:szCs w:val="20"/>
        </w:rPr>
        <w:t>Feinstein</w:t>
      </w:r>
      <w:proofErr w:type="spellEnd"/>
      <w:r w:rsidRPr="002F3453">
        <w:rPr>
          <w:rFonts w:ascii="Arial" w:hAnsi="Arial" w:cs="Arial"/>
          <w:sz w:val="20"/>
          <w:szCs w:val="20"/>
        </w:rPr>
        <w:t>, 1985)</w:t>
      </w:r>
      <w:r w:rsidRPr="002F3453">
        <w:rPr>
          <w:rStyle w:val="apple-converted-space"/>
          <w:rFonts w:ascii="Arial" w:hAnsi="Arial" w:cs="Arial"/>
          <w:sz w:val="20"/>
          <w:szCs w:val="20"/>
        </w:rPr>
        <w:t> </w:t>
      </w:r>
      <w:r w:rsidRPr="002F3453">
        <w:rPr>
          <w:rFonts w:ascii="Arial" w:hAnsi="Arial" w:cs="Arial"/>
          <w:sz w:val="20"/>
          <w:szCs w:val="20"/>
        </w:rPr>
        <w:br/>
        <w:t xml:space="preserve">Ocasionalmente el grupo que presenta la variable dependiente resulta ser más interesante para el investigador que el grupo que participa como control. Por esta circunstancia, en el procedimiento de </w:t>
      </w:r>
      <w:proofErr w:type="spellStart"/>
      <w:r w:rsidRPr="002F3453">
        <w:rPr>
          <w:rFonts w:ascii="Arial" w:hAnsi="Arial" w:cs="Arial"/>
          <w:sz w:val="20"/>
          <w:szCs w:val="20"/>
        </w:rPr>
        <w:t>encuestaje</w:t>
      </w:r>
      <w:proofErr w:type="spellEnd"/>
      <w:r w:rsidRPr="002F3453">
        <w:rPr>
          <w:rFonts w:ascii="Arial" w:hAnsi="Arial" w:cs="Arial"/>
          <w:sz w:val="20"/>
          <w:szCs w:val="20"/>
        </w:rPr>
        <w:t>, estos sujetos pueden concitar mayor preocupación e interés por conseguir la información. En el caso de un estudio en el que exista intervención, el sujeto del grupo experimental puede verse beneficiado con una mayor acuciosidad en la observación.</w:t>
      </w:r>
    </w:p>
    <w:p w:rsidR="002F3453" w:rsidRPr="002F3453" w:rsidRDefault="002F3453" w:rsidP="002F3453">
      <w:pPr>
        <w:pStyle w:val="NormalWeb"/>
        <w:shd w:val="clear" w:color="auto" w:fill="FFFFFF"/>
        <w:rPr>
          <w:rFonts w:ascii="Arial" w:hAnsi="Arial" w:cs="Arial"/>
          <w:sz w:val="20"/>
          <w:szCs w:val="20"/>
        </w:rPr>
      </w:pPr>
      <w:r w:rsidRPr="002F3453">
        <w:rPr>
          <w:rFonts w:ascii="Arial" w:hAnsi="Arial" w:cs="Arial"/>
          <w:sz w:val="20"/>
          <w:szCs w:val="20"/>
        </w:rPr>
        <w:t>Sesgo de memoria (</w:t>
      </w:r>
      <w:proofErr w:type="spellStart"/>
      <w:r w:rsidRPr="002F3453">
        <w:rPr>
          <w:rFonts w:ascii="Arial" w:hAnsi="Arial" w:cs="Arial"/>
          <w:sz w:val="20"/>
          <w:szCs w:val="20"/>
        </w:rPr>
        <w:t>recall</w:t>
      </w:r>
      <w:proofErr w:type="spellEnd"/>
      <w:r w:rsidRPr="002F3453">
        <w:rPr>
          <w:rFonts w:ascii="Arial" w:hAnsi="Arial" w:cs="Arial"/>
          <w:sz w:val="20"/>
          <w:szCs w:val="20"/>
        </w:rPr>
        <w:t xml:space="preserve"> </w:t>
      </w:r>
      <w:proofErr w:type="spellStart"/>
      <w:r w:rsidRPr="002F3453">
        <w:rPr>
          <w:rFonts w:ascii="Arial" w:hAnsi="Arial" w:cs="Arial"/>
          <w:sz w:val="20"/>
          <w:szCs w:val="20"/>
        </w:rPr>
        <w:t>biass</w:t>
      </w:r>
      <w:proofErr w:type="spellEnd"/>
      <w:r w:rsidRPr="002F3453">
        <w:rPr>
          <w:rFonts w:ascii="Arial" w:hAnsi="Arial" w:cs="Arial"/>
          <w:sz w:val="20"/>
          <w:szCs w:val="20"/>
        </w:rPr>
        <w:t>)</w:t>
      </w:r>
      <w:r w:rsidRPr="002F3453">
        <w:rPr>
          <w:rStyle w:val="apple-converted-space"/>
          <w:rFonts w:ascii="Arial" w:hAnsi="Arial" w:cs="Arial"/>
          <w:sz w:val="20"/>
          <w:szCs w:val="20"/>
        </w:rPr>
        <w:t> </w:t>
      </w:r>
      <w:r w:rsidRPr="002F3453">
        <w:rPr>
          <w:rFonts w:ascii="Arial" w:hAnsi="Arial" w:cs="Arial"/>
          <w:sz w:val="20"/>
          <w:szCs w:val="20"/>
        </w:rPr>
        <w:br/>
        <w:t>Frecuente de observar en estudios retrospectivos, en los cuales se pregunta por antecedente de exposición a determinadas circunstancias en diferentes períodos de la vida, existiendo la posibilidad de olvido. Esta dificultad se produce en aquellas mediciones que de por sí son de alta variabilidad, como por ejemplo, parámetros nutricionales, exposiciones inadvertidas a diversos factores y que pueden afectar la medición ya sea por su omisión absoluta o en la determinación de niveles de exposición.</w:t>
      </w:r>
    </w:p>
    <w:p w:rsidR="002F3453" w:rsidRPr="002F3453" w:rsidRDefault="002F3453" w:rsidP="002F3453">
      <w:pPr>
        <w:pStyle w:val="NormalWeb"/>
        <w:shd w:val="clear" w:color="auto" w:fill="FFFFFF"/>
        <w:rPr>
          <w:rFonts w:ascii="Arial" w:hAnsi="Arial" w:cs="Arial"/>
          <w:sz w:val="20"/>
          <w:szCs w:val="20"/>
        </w:rPr>
      </w:pPr>
      <w:r w:rsidRPr="002F3453">
        <w:rPr>
          <w:rFonts w:ascii="Arial" w:hAnsi="Arial" w:cs="Arial"/>
          <w:sz w:val="20"/>
          <w:szCs w:val="20"/>
        </w:rPr>
        <w:t>Sesgo por falta de sensibilidad de un instrumento.</w:t>
      </w:r>
      <w:r w:rsidRPr="002F3453">
        <w:rPr>
          <w:rStyle w:val="apple-converted-space"/>
          <w:rFonts w:ascii="Arial" w:hAnsi="Arial" w:cs="Arial"/>
          <w:sz w:val="20"/>
          <w:szCs w:val="20"/>
        </w:rPr>
        <w:t> </w:t>
      </w:r>
      <w:r w:rsidRPr="002F3453">
        <w:rPr>
          <w:rFonts w:ascii="Arial" w:hAnsi="Arial" w:cs="Arial"/>
          <w:sz w:val="20"/>
          <w:szCs w:val="20"/>
        </w:rPr>
        <w:br/>
        <w:t>Si no se cuenta con adecuados métodos de recolección de la información, es posible que la sensibilidad de los instrumentos empleados en tales mediciones carezca de la sensibilidad necesaria para poder detectar la presencia de la variable en estudio. Como consecuencia de ello, la frecuencia de tal variable puede tener órdenes de magnitud inferiores a la real.</w:t>
      </w:r>
    </w:p>
    <w:p w:rsidR="002F3453" w:rsidRPr="002F3453" w:rsidRDefault="002F3453" w:rsidP="002F3453">
      <w:pPr>
        <w:pStyle w:val="NormalWeb"/>
        <w:shd w:val="clear" w:color="auto" w:fill="FFFFFF"/>
        <w:rPr>
          <w:rFonts w:ascii="Arial" w:hAnsi="Arial" w:cs="Arial"/>
          <w:sz w:val="20"/>
          <w:szCs w:val="20"/>
        </w:rPr>
      </w:pPr>
      <w:r w:rsidRPr="002F3453">
        <w:rPr>
          <w:rFonts w:ascii="Arial" w:hAnsi="Arial" w:cs="Arial"/>
          <w:sz w:val="20"/>
          <w:szCs w:val="20"/>
        </w:rPr>
        <w:t>Sesgo de detección (</w:t>
      </w:r>
      <w:proofErr w:type="spellStart"/>
      <w:r w:rsidRPr="002F3453">
        <w:rPr>
          <w:rFonts w:ascii="Arial" w:hAnsi="Arial" w:cs="Arial"/>
          <w:sz w:val="20"/>
          <w:szCs w:val="20"/>
        </w:rPr>
        <w:t>Feinstein</w:t>
      </w:r>
      <w:proofErr w:type="spellEnd"/>
      <w:r w:rsidRPr="002F3453">
        <w:rPr>
          <w:rFonts w:ascii="Arial" w:hAnsi="Arial" w:cs="Arial"/>
          <w:sz w:val="20"/>
          <w:szCs w:val="20"/>
        </w:rPr>
        <w:t xml:space="preserve">, </w:t>
      </w:r>
      <w:proofErr w:type="spellStart"/>
      <w:r w:rsidRPr="002F3453">
        <w:rPr>
          <w:rFonts w:ascii="Arial" w:hAnsi="Arial" w:cs="Arial"/>
          <w:sz w:val="20"/>
          <w:szCs w:val="20"/>
        </w:rPr>
        <w:t>Sosin</w:t>
      </w:r>
      <w:proofErr w:type="spellEnd"/>
      <w:r w:rsidRPr="002F3453">
        <w:rPr>
          <w:rFonts w:ascii="Arial" w:hAnsi="Arial" w:cs="Arial"/>
          <w:sz w:val="20"/>
          <w:szCs w:val="20"/>
        </w:rPr>
        <w:t>, 1985)</w:t>
      </w:r>
      <w:r w:rsidRPr="002F3453">
        <w:rPr>
          <w:rStyle w:val="apple-converted-space"/>
          <w:rFonts w:ascii="Arial" w:hAnsi="Arial" w:cs="Arial"/>
          <w:sz w:val="20"/>
          <w:szCs w:val="20"/>
        </w:rPr>
        <w:t> </w:t>
      </w:r>
      <w:r w:rsidRPr="002F3453">
        <w:rPr>
          <w:rFonts w:ascii="Arial" w:hAnsi="Arial" w:cs="Arial"/>
          <w:sz w:val="20"/>
          <w:szCs w:val="20"/>
        </w:rPr>
        <w:br/>
        <w:t xml:space="preserve">Su ocurrencia se explica por la introducción de metodologías diagnósticas diferentes a las inicialmente utilizadas al comienzo de un estudio. Si se trata de un estudio de sobrevivencia, por ejemplo, producto de una nueva reclasificación pueden verificarse cambios de </w:t>
      </w:r>
      <w:proofErr w:type="spellStart"/>
      <w:r w:rsidRPr="002F3453">
        <w:rPr>
          <w:rFonts w:ascii="Arial" w:hAnsi="Arial" w:cs="Arial"/>
          <w:sz w:val="20"/>
          <w:szCs w:val="20"/>
        </w:rPr>
        <w:t>etapificación</w:t>
      </w:r>
      <w:proofErr w:type="spellEnd"/>
      <w:r w:rsidRPr="002F3453">
        <w:rPr>
          <w:rFonts w:ascii="Arial" w:hAnsi="Arial" w:cs="Arial"/>
          <w:sz w:val="20"/>
          <w:szCs w:val="20"/>
        </w:rPr>
        <w:t xml:space="preserve"> de individuos, con el consiguiente cambio en el pronóstico, si fuera ésta la medida analizada.</w:t>
      </w:r>
    </w:p>
    <w:p w:rsidR="002F3453" w:rsidRPr="002F3453" w:rsidRDefault="002F3453" w:rsidP="002F3453">
      <w:pPr>
        <w:pStyle w:val="NormalWeb"/>
        <w:shd w:val="clear" w:color="auto" w:fill="FFFFFF"/>
        <w:rPr>
          <w:rFonts w:ascii="Arial" w:hAnsi="Arial" w:cs="Arial"/>
          <w:sz w:val="20"/>
          <w:szCs w:val="20"/>
        </w:rPr>
      </w:pPr>
      <w:r w:rsidRPr="002F3453">
        <w:rPr>
          <w:rFonts w:ascii="Arial" w:hAnsi="Arial" w:cs="Arial"/>
          <w:sz w:val="20"/>
          <w:szCs w:val="20"/>
        </w:rPr>
        <w:t>Sesgo de adaptación (</w:t>
      </w:r>
      <w:proofErr w:type="spellStart"/>
      <w:r w:rsidRPr="002F3453">
        <w:rPr>
          <w:rFonts w:ascii="Arial" w:hAnsi="Arial" w:cs="Arial"/>
          <w:sz w:val="20"/>
          <w:szCs w:val="20"/>
        </w:rPr>
        <w:t>compliance</w:t>
      </w:r>
      <w:proofErr w:type="spellEnd"/>
      <w:r w:rsidRPr="002F3453">
        <w:rPr>
          <w:rFonts w:ascii="Arial" w:hAnsi="Arial" w:cs="Arial"/>
          <w:sz w:val="20"/>
          <w:szCs w:val="20"/>
        </w:rPr>
        <w:t>).</w:t>
      </w:r>
      <w:r w:rsidRPr="002F3453">
        <w:rPr>
          <w:rStyle w:val="apple-converted-space"/>
          <w:rFonts w:ascii="Arial" w:hAnsi="Arial" w:cs="Arial"/>
          <w:sz w:val="20"/>
          <w:szCs w:val="20"/>
        </w:rPr>
        <w:t> </w:t>
      </w:r>
      <w:r w:rsidRPr="002F3453">
        <w:rPr>
          <w:rFonts w:ascii="Arial" w:hAnsi="Arial" w:cs="Arial"/>
          <w:sz w:val="20"/>
          <w:szCs w:val="20"/>
        </w:rPr>
        <w:br/>
        <w:t>Se produce especialmente en estudios de intervención (experimentales o cuasi-experimentales), en los cuales individuos asignados inicialmente a un grupo particular deciden migrar de grupo por preferir un tipo de intervención por sobre otro. En un ensayo clínico controlado la ocurrencia de este tipo de sesgo se neutraliza mediante la asignación aleatoria de los sujetos a los diferentes grupos de intervención y por la presencia del llamado "doble ciego", circunstancia en la cual tanto el investigador como el sujeto ignoran cual es el tipo de intervención (fármaco por ejemplo) que reciben los individuos participantes. El control de este sesgo es mucho más difícil en el caso de los estudios cuasi experimentales, en los cuales un gran contingente de individuos puede conocer indirectamente los beneficios de una intervención diferente a la que recibe en el estudio.</w:t>
      </w:r>
    </w:p>
    <w:p w:rsidR="002F3453" w:rsidRPr="002F3453" w:rsidRDefault="002F3453" w:rsidP="002F3453">
      <w:pPr>
        <w:pStyle w:val="NormalWeb"/>
        <w:shd w:val="clear" w:color="auto" w:fill="FFFFFF"/>
        <w:rPr>
          <w:rFonts w:ascii="Arial" w:hAnsi="Arial" w:cs="Arial"/>
          <w:sz w:val="20"/>
          <w:szCs w:val="20"/>
        </w:rPr>
      </w:pPr>
    </w:p>
    <w:p w:rsidR="002F3453" w:rsidRPr="002F3453" w:rsidRDefault="002F3453" w:rsidP="002F3453">
      <w:pPr>
        <w:shd w:val="clear" w:color="auto" w:fill="FFFFFF"/>
        <w:spacing w:before="300" w:after="0" w:line="240" w:lineRule="auto"/>
        <w:rPr>
          <w:rFonts w:ascii="Arial" w:eastAsia="Times New Roman" w:hAnsi="Arial" w:cs="Arial"/>
          <w:sz w:val="20"/>
          <w:szCs w:val="20"/>
          <w:lang w:eastAsia="es-MX"/>
        </w:rPr>
      </w:pPr>
      <w:r w:rsidRPr="002F3453">
        <w:rPr>
          <w:rFonts w:ascii="Arial" w:eastAsia="Times New Roman" w:hAnsi="Arial" w:cs="Arial"/>
          <w:sz w:val="20"/>
          <w:szCs w:val="20"/>
          <w:lang w:eastAsia="es-MX"/>
        </w:rPr>
        <w:t xml:space="preserve">Criterios de causalidad. </w:t>
      </w:r>
    </w:p>
    <w:p w:rsidR="002F3453" w:rsidRPr="002F3453" w:rsidRDefault="002F3453" w:rsidP="002F3453">
      <w:pPr>
        <w:shd w:val="clear" w:color="auto" w:fill="FFFFFF"/>
        <w:spacing w:before="300" w:after="0" w:line="240" w:lineRule="auto"/>
        <w:rPr>
          <w:rFonts w:ascii="Arial" w:eastAsia="Times New Roman" w:hAnsi="Arial" w:cs="Arial"/>
          <w:sz w:val="20"/>
          <w:szCs w:val="20"/>
          <w:lang w:eastAsia="es-MX"/>
        </w:rPr>
      </w:pPr>
      <w:r w:rsidRPr="002F3453">
        <w:rPr>
          <w:rFonts w:ascii="Arial" w:eastAsia="Times New Roman" w:hAnsi="Arial" w:cs="Arial"/>
          <w:sz w:val="20"/>
          <w:szCs w:val="20"/>
          <w:lang w:eastAsia="es-MX"/>
        </w:rPr>
        <w:lastRenderedPageBreak/>
        <w:t>En las ciencias biomédicas, los criterios de causalidad más comúnmente aceptados son los que postuló el epidemiólogo británico Austin Bradford Hill en su célebre artículo “El medio y la enfermedad: ¿asociación o causalidad?”, que publicó en 1965 en la revista </w:t>
      </w:r>
      <w:proofErr w:type="spellStart"/>
      <w:r w:rsidRPr="002F3453">
        <w:rPr>
          <w:rFonts w:ascii="Arial" w:eastAsia="Times New Roman" w:hAnsi="Arial" w:cs="Arial"/>
          <w:i/>
          <w:iCs/>
          <w:sz w:val="20"/>
          <w:szCs w:val="20"/>
          <w:lang w:eastAsia="es-MX"/>
        </w:rPr>
        <w:t>Proceedings</w:t>
      </w:r>
      <w:proofErr w:type="spellEnd"/>
      <w:r w:rsidRPr="002F3453">
        <w:rPr>
          <w:rFonts w:ascii="Arial" w:eastAsia="Times New Roman" w:hAnsi="Arial" w:cs="Arial"/>
          <w:i/>
          <w:iCs/>
          <w:sz w:val="20"/>
          <w:szCs w:val="20"/>
          <w:lang w:eastAsia="es-MX"/>
        </w:rPr>
        <w:t xml:space="preserve"> of </w:t>
      </w:r>
      <w:proofErr w:type="spellStart"/>
      <w:r w:rsidRPr="002F3453">
        <w:rPr>
          <w:rFonts w:ascii="Arial" w:eastAsia="Times New Roman" w:hAnsi="Arial" w:cs="Arial"/>
          <w:i/>
          <w:iCs/>
          <w:sz w:val="20"/>
          <w:szCs w:val="20"/>
          <w:lang w:eastAsia="es-MX"/>
        </w:rPr>
        <w:t>the</w:t>
      </w:r>
      <w:proofErr w:type="spellEnd"/>
      <w:r w:rsidRPr="002F3453">
        <w:rPr>
          <w:rFonts w:ascii="Arial" w:eastAsia="Times New Roman" w:hAnsi="Arial" w:cs="Arial"/>
          <w:i/>
          <w:iCs/>
          <w:sz w:val="20"/>
          <w:szCs w:val="20"/>
          <w:lang w:eastAsia="es-MX"/>
        </w:rPr>
        <w:t xml:space="preserve"> Royal </w:t>
      </w:r>
      <w:proofErr w:type="spellStart"/>
      <w:r w:rsidRPr="002F3453">
        <w:rPr>
          <w:rFonts w:ascii="Arial" w:eastAsia="Times New Roman" w:hAnsi="Arial" w:cs="Arial"/>
          <w:i/>
          <w:iCs/>
          <w:sz w:val="20"/>
          <w:szCs w:val="20"/>
          <w:lang w:eastAsia="es-MX"/>
        </w:rPr>
        <w:t>Society</w:t>
      </w:r>
      <w:proofErr w:type="spellEnd"/>
      <w:r w:rsidRPr="002F3453">
        <w:rPr>
          <w:rFonts w:ascii="Arial" w:eastAsia="Times New Roman" w:hAnsi="Arial" w:cs="Arial"/>
          <w:i/>
          <w:iCs/>
          <w:sz w:val="20"/>
          <w:szCs w:val="20"/>
          <w:lang w:eastAsia="es-MX"/>
        </w:rPr>
        <w:t xml:space="preserve"> of Medicine</w:t>
      </w:r>
      <w:r w:rsidRPr="002F3453">
        <w:rPr>
          <w:rFonts w:ascii="Arial" w:eastAsia="Times New Roman" w:hAnsi="Arial" w:cs="Arial"/>
          <w:sz w:val="20"/>
          <w:szCs w:val="20"/>
          <w:lang w:eastAsia="es-MX"/>
        </w:rPr>
        <w:t>, y que son los que siguen:</w:t>
      </w:r>
    </w:p>
    <w:p w:rsidR="002F3453" w:rsidRPr="002F3453" w:rsidRDefault="002F3453" w:rsidP="002F3453">
      <w:pPr>
        <w:shd w:val="clear" w:color="auto" w:fill="FFFFFF"/>
        <w:spacing w:before="300" w:after="0" w:line="240" w:lineRule="auto"/>
        <w:rPr>
          <w:rFonts w:ascii="Arial" w:eastAsia="Times New Roman" w:hAnsi="Arial" w:cs="Arial"/>
          <w:sz w:val="20"/>
          <w:szCs w:val="20"/>
          <w:lang w:eastAsia="es-MX"/>
        </w:rPr>
      </w:pPr>
      <w:r w:rsidRPr="002F3453">
        <w:rPr>
          <w:rFonts w:ascii="Arial" w:eastAsia="Times New Roman" w:hAnsi="Arial" w:cs="Arial"/>
          <w:bCs/>
          <w:sz w:val="20"/>
          <w:szCs w:val="20"/>
          <w:lang w:eastAsia="es-MX"/>
        </w:rPr>
        <w:t>De validez interna</w:t>
      </w:r>
      <w:r w:rsidRPr="002F3453">
        <w:rPr>
          <w:rFonts w:ascii="Arial" w:eastAsia="Times New Roman" w:hAnsi="Arial" w:cs="Arial"/>
          <w:sz w:val="20"/>
          <w:szCs w:val="20"/>
          <w:lang w:eastAsia="es-MX"/>
        </w:rPr>
        <w:t> (propios del estudio)</w:t>
      </w:r>
    </w:p>
    <w:p w:rsidR="002F3453" w:rsidRPr="002F3453" w:rsidRDefault="002F3453" w:rsidP="002F3453">
      <w:pPr>
        <w:numPr>
          <w:ilvl w:val="0"/>
          <w:numId w:val="2"/>
        </w:numPr>
        <w:shd w:val="clear" w:color="auto" w:fill="FFFFFF"/>
        <w:spacing w:after="120" w:line="240" w:lineRule="auto"/>
        <w:ind w:left="480"/>
        <w:rPr>
          <w:rFonts w:ascii="Arial" w:eastAsia="Times New Roman" w:hAnsi="Arial" w:cs="Arial"/>
          <w:sz w:val="20"/>
          <w:szCs w:val="20"/>
          <w:lang w:eastAsia="es-MX"/>
        </w:rPr>
      </w:pPr>
      <w:r w:rsidRPr="002F3453">
        <w:rPr>
          <w:rFonts w:ascii="Arial" w:eastAsia="Times New Roman" w:hAnsi="Arial" w:cs="Arial"/>
          <w:sz w:val="20"/>
          <w:szCs w:val="20"/>
          <w:lang w:eastAsia="es-MX"/>
        </w:rPr>
        <w:t>Fuerza de asociación: A mayor intensidad de la relación entre dos variables, mayor es la probabilidad de que exista una relación.</w:t>
      </w:r>
    </w:p>
    <w:p w:rsidR="002F3453" w:rsidRPr="002F3453" w:rsidRDefault="002F3453" w:rsidP="002F3453">
      <w:pPr>
        <w:shd w:val="clear" w:color="auto" w:fill="FFFFFF"/>
        <w:spacing w:after="0" w:line="240" w:lineRule="auto"/>
        <w:rPr>
          <w:rFonts w:ascii="Arial" w:eastAsia="Times New Roman" w:hAnsi="Arial" w:cs="Arial"/>
          <w:sz w:val="20"/>
          <w:szCs w:val="20"/>
          <w:lang w:eastAsia="es-MX"/>
        </w:rPr>
      </w:pPr>
    </w:p>
    <w:p w:rsidR="002F3453" w:rsidRPr="002F3453" w:rsidRDefault="002F3453" w:rsidP="002F3453">
      <w:pPr>
        <w:numPr>
          <w:ilvl w:val="0"/>
          <w:numId w:val="2"/>
        </w:numPr>
        <w:shd w:val="clear" w:color="auto" w:fill="FFFFFF"/>
        <w:spacing w:after="120" w:line="240" w:lineRule="auto"/>
        <w:ind w:left="480"/>
        <w:rPr>
          <w:rFonts w:ascii="Arial" w:eastAsia="Times New Roman" w:hAnsi="Arial" w:cs="Arial"/>
          <w:sz w:val="20"/>
          <w:szCs w:val="20"/>
          <w:lang w:eastAsia="es-MX"/>
        </w:rPr>
      </w:pPr>
      <w:r w:rsidRPr="002F3453">
        <w:rPr>
          <w:rFonts w:ascii="Arial" w:eastAsia="Times New Roman" w:hAnsi="Arial" w:cs="Arial"/>
          <w:sz w:val="20"/>
          <w:szCs w:val="20"/>
          <w:lang w:eastAsia="es-MX"/>
        </w:rPr>
        <w:t>Secuencia temporal: Aunque en ocasiones es difícil establecerlo, la causa debe preceder al efecto. Es el único criterio considerado por algunos autores como condición </w:t>
      </w:r>
      <w:r w:rsidRPr="002F3453">
        <w:rPr>
          <w:rFonts w:ascii="Arial" w:eastAsia="Times New Roman" w:hAnsi="Arial" w:cs="Arial"/>
          <w:i/>
          <w:iCs/>
          <w:sz w:val="20"/>
          <w:szCs w:val="20"/>
          <w:lang w:eastAsia="es-MX"/>
        </w:rPr>
        <w:t>sine qua non</w:t>
      </w:r>
      <w:r w:rsidRPr="002F3453">
        <w:rPr>
          <w:rFonts w:ascii="Arial" w:eastAsia="Times New Roman" w:hAnsi="Arial" w:cs="Arial"/>
          <w:sz w:val="20"/>
          <w:szCs w:val="20"/>
          <w:lang w:eastAsia="es-MX"/>
        </w:rPr>
        <w:t>.</w:t>
      </w:r>
    </w:p>
    <w:p w:rsidR="002F3453" w:rsidRPr="002F3453" w:rsidRDefault="002F3453" w:rsidP="002F3453">
      <w:pPr>
        <w:shd w:val="clear" w:color="auto" w:fill="FFFFFF"/>
        <w:spacing w:after="0" w:line="240" w:lineRule="auto"/>
        <w:rPr>
          <w:rFonts w:ascii="Arial" w:eastAsia="Times New Roman" w:hAnsi="Arial" w:cs="Arial"/>
          <w:sz w:val="20"/>
          <w:szCs w:val="20"/>
          <w:lang w:eastAsia="es-MX"/>
        </w:rPr>
      </w:pPr>
    </w:p>
    <w:p w:rsidR="002F3453" w:rsidRPr="002F3453" w:rsidRDefault="002F3453" w:rsidP="002F3453">
      <w:pPr>
        <w:numPr>
          <w:ilvl w:val="0"/>
          <w:numId w:val="2"/>
        </w:numPr>
        <w:shd w:val="clear" w:color="auto" w:fill="FFFFFF"/>
        <w:spacing w:after="120" w:line="240" w:lineRule="auto"/>
        <w:ind w:left="480"/>
        <w:rPr>
          <w:rFonts w:ascii="Arial" w:eastAsia="Times New Roman" w:hAnsi="Arial" w:cs="Arial"/>
          <w:sz w:val="20"/>
          <w:szCs w:val="20"/>
          <w:lang w:eastAsia="es-MX"/>
        </w:rPr>
      </w:pPr>
      <w:r w:rsidRPr="002F3453">
        <w:rPr>
          <w:rFonts w:ascii="Arial" w:eastAsia="Times New Roman" w:hAnsi="Arial" w:cs="Arial"/>
          <w:sz w:val="20"/>
          <w:szCs w:val="20"/>
          <w:lang w:eastAsia="es-MX"/>
        </w:rPr>
        <w:t>Efecto dosis-respuesta: Cuanto mayor es el tiempo y/o dosis de exposición al factor causal, mayor es el riesgo de enfermedad.</w:t>
      </w:r>
    </w:p>
    <w:p w:rsidR="002F3453" w:rsidRPr="002F3453" w:rsidRDefault="002F3453" w:rsidP="002F3453">
      <w:pPr>
        <w:spacing w:after="0" w:line="240" w:lineRule="auto"/>
        <w:rPr>
          <w:rFonts w:ascii="Arial" w:eastAsia="Times New Roman" w:hAnsi="Arial" w:cs="Arial"/>
          <w:sz w:val="20"/>
          <w:szCs w:val="20"/>
          <w:lang w:eastAsia="es-MX"/>
        </w:rPr>
      </w:pPr>
      <w:r w:rsidRPr="002F3453">
        <w:rPr>
          <w:rFonts w:ascii="Arial" w:eastAsia="Times New Roman" w:hAnsi="Arial" w:cs="Arial"/>
          <w:sz w:val="20"/>
          <w:szCs w:val="20"/>
          <w:lang w:eastAsia="es-MX"/>
        </w:rPr>
        <w:br/>
      </w:r>
      <w:r w:rsidRPr="002F3453">
        <w:rPr>
          <w:rFonts w:ascii="Arial" w:eastAsia="Times New Roman" w:hAnsi="Arial" w:cs="Arial"/>
          <w:bCs/>
          <w:sz w:val="20"/>
          <w:szCs w:val="20"/>
          <w:lang w:eastAsia="es-MX"/>
        </w:rPr>
        <w:t>De coherencia científica</w:t>
      </w:r>
    </w:p>
    <w:p w:rsidR="002F3453" w:rsidRPr="002F3453" w:rsidRDefault="002F3453" w:rsidP="002F3453">
      <w:pPr>
        <w:numPr>
          <w:ilvl w:val="0"/>
          <w:numId w:val="3"/>
        </w:numPr>
        <w:shd w:val="clear" w:color="auto" w:fill="FFFFFF"/>
        <w:spacing w:after="120" w:line="240" w:lineRule="auto"/>
        <w:ind w:left="480"/>
        <w:rPr>
          <w:rFonts w:ascii="Arial" w:eastAsia="Times New Roman" w:hAnsi="Arial" w:cs="Arial"/>
          <w:sz w:val="20"/>
          <w:szCs w:val="20"/>
          <w:lang w:eastAsia="es-MX"/>
        </w:rPr>
      </w:pPr>
      <w:r w:rsidRPr="002F3453">
        <w:rPr>
          <w:rFonts w:ascii="Arial" w:eastAsia="Times New Roman" w:hAnsi="Arial" w:cs="Arial"/>
          <w:sz w:val="20"/>
          <w:szCs w:val="20"/>
          <w:lang w:eastAsia="es-MX"/>
        </w:rPr>
        <w:t>Consistencia: Los resultados de un estudio deben mantenerse constantes y ser reproducibles por cualquier investigador en cualquier lugar.</w:t>
      </w:r>
    </w:p>
    <w:p w:rsidR="002F3453" w:rsidRPr="002F3453" w:rsidRDefault="002F3453" w:rsidP="002F3453">
      <w:pPr>
        <w:shd w:val="clear" w:color="auto" w:fill="FFFFFF"/>
        <w:spacing w:after="0" w:line="240" w:lineRule="auto"/>
        <w:rPr>
          <w:rFonts w:ascii="Arial" w:eastAsia="Times New Roman" w:hAnsi="Arial" w:cs="Arial"/>
          <w:sz w:val="20"/>
          <w:szCs w:val="20"/>
          <w:lang w:eastAsia="es-MX"/>
        </w:rPr>
      </w:pPr>
    </w:p>
    <w:p w:rsidR="002F3453" w:rsidRPr="002F3453" w:rsidRDefault="002F3453" w:rsidP="002F3453">
      <w:pPr>
        <w:numPr>
          <w:ilvl w:val="0"/>
          <w:numId w:val="3"/>
        </w:numPr>
        <w:shd w:val="clear" w:color="auto" w:fill="FFFFFF"/>
        <w:spacing w:after="120" w:line="240" w:lineRule="auto"/>
        <w:ind w:left="480"/>
        <w:rPr>
          <w:rFonts w:ascii="Arial" w:eastAsia="Times New Roman" w:hAnsi="Arial" w:cs="Arial"/>
          <w:sz w:val="20"/>
          <w:szCs w:val="20"/>
          <w:lang w:eastAsia="es-MX"/>
        </w:rPr>
      </w:pPr>
      <w:r w:rsidRPr="002F3453">
        <w:rPr>
          <w:rFonts w:ascii="Arial" w:eastAsia="Times New Roman" w:hAnsi="Arial" w:cs="Arial"/>
          <w:sz w:val="20"/>
          <w:szCs w:val="20"/>
          <w:lang w:eastAsia="es-MX"/>
        </w:rPr>
        <w:t>Plausibilidad biológica: La relación causal sugerida debe mantener la línea de los principios científicos aceptados en el momento, es decir, creemos más en una relación causal si conocemos su mecanismo patogénico.</w:t>
      </w:r>
    </w:p>
    <w:p w:rsidR="002F3453" w:rsidRPr="002F3453" w:rsidRDefault="002F3453" w:rsidP="002F3453">
      <w:pPr>
        <w:shd w:val="clear" w:color="auto" w:fill="FFFFFF"/>
        <w:spacing w:after="0" w:line="240" w:lineRule="auto"/>
        <w:rPr>
          <w:rFonts w:ascii="Arial" w:eastAsia="Times New Roman" w:hAnsi="Arial" w:cs="Arial"/>
          <w:sz w:val="20"/>
          <w:szCs w:val="20"/>
          <w:lang w:eastAsia="es-MX"/>
        </w:rPr>
      </w:pPr>
    </w:p>
    <w:p w:rsidR="002F3453" w:rsidRPr="002F3453" w:rsidRDefault="002F3453" w:rsidP="002F3453">
      <w:pPr>
        <w:numPr>
          <w:ilvl w:val="0"/>
          <w:numId w:val="3"/>
        </w:numPr>
        <w:shd w:val="clear" w:color="auto" w:fill="FFFFFF"/>
        <w:spacing w:after="120" w:line="240" w:lineRule="auto"/>
        <w:ind w:left="480"/>
        <w:rPr>
          <w:rFonts w:ascii="Arial" w:eastAsia="Times New Roman" w:hAnsi="Arial" w:cs="Arial"/>
          <w:sz w:val="20"/>
          <w:szCs w:val="20"/>
          <w:lang w:eastAsia="es-MX"/>
        </w:rPr>
      </w:pPr>
      <w:r w:rsidRPr="002F3453">
        <w:rPr>
          <w:rFonts w:ascii="Arial" w:eastAsia="Times New Roman" w:hAnsi="Arial" w:cs="Arial"/>
          <w:sz w:val="20"/>
          <w:szCs w:val="20"/>
          <w:lang w:eastAsia="es-MX"/>
        </w:rPr>
        <w:t>Especificidad de asociación y analogía: Cierta especificidad (una causa conduce a un único efecto) aumenta la verosimilitud de la relación causal. Con analogía, nos referimos a que asociaciones causales similares pueden producir enfermedades similares.</w:t>
      </w:r>
    </w:p>
    <w:p w:rsidR="002F3453" w:rsidRPr="002F3453" w:rsidRDefault="002F3453" w:rsidP="002F3453">
      <w:pPr>
        <w:shd w:val="clear" w:color="auto" w:fill="FFFFFF"/>
        <w:spacing w:after="0" w:line="240" w:lineRule="auto"/>
        <w:rPr>
          <w:rFonts w:ascii="Arial" w:eastAsia="Times New Roman" w:hAnsi="Arial" w:cs="Arial"/>
          <w:sz w:val="20"/>
          <w:szCs w:val="20"/>
          <w:lang w:eastAsia="es-MX"/>
        </w:rPr>
      </w:pPr>
    </w:p>
    <w:p w:rsidR="00CF4032" w:rsidRPr="002F3453" w:rsidRDefault="002F3453" w:rsidP="002F3453">
      <w:pPr>
        <w:numPr>
          <w:ilvl w:val="0"/>
          <w:numId w:val="3"/>
        </w:numPr>
        <w:shd w:val="clear" w:color="auto" w:fill="FFFFFF"/>
        <w:spacing w:after="120" w:line="240" w:lineRule="auto"/>
        <w:ind w:left="480"/>
        <w:rPr>
          <w:rFonts w:ascii="Arial" w:hAnsi="Arial" w:cs="Arial"/>
          <w:sz w:val="20"/>
          <w:szCs w:val="20"/>
        </w:rPr>
      </w:pPr>
      <w:r w:rsidRPr="002F3453">
        <w:rPr>
          <w:rFonts w:ascii="Arial" w:eastAsia="Times New Roman" w:hAnsi="Arial" w:cs="Arial"/>
          <w:sz w:val="20"/>
          <w:szCs w:val="20"/>
          <w:lang w:eastAsia="es-MX"/>
        </w:rPr>
        <w:t>Evidencia experimental: No siempre es posible realizar el estudio necesario, pero es la prueba más sólida de causalidad. En el caso de que no se pueda acceder a un ensayo clínico, hay quienes lo interpretan este punto en el sentido de que si un factor produce un efecto, éste debería cesar cuando desaparece el factor.</w:t>
      </w:r>
    </w:p>
    <w:sectPr w:rsidR="00CF4032" w:rsidRPr="002F3453" w:rsidSect="0033765F">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38" w:rsidRDefault="00E74238" w:rsidP="00472A2D">
      <w:pPr>
        <w:spacing w:after="0" w:line="240" w:lineRule="auto"/>
      </w:pPr>
      <w:r>
        <w:separator/>
      </w:r>
    </w:p>
  </w:endnote>
  <w:endnote w:type="continuationSeparator" w:id="0">
    <w:p w:rsidR="00E74238" w:rsidRDefault="00E74238" w:rsidP="0047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38" w:rsidRDefault="00E74238" w:rsidP="00472A2D">
      <w:pPr>
        <w:spacing w:after="0" w:line="240" w:lineRule="auto"/>
      </w:pPr>
      <w:r>
        <w:separator/>
      </w:r>
    </w:p>
  </w:footnote>
  <w:footnote w:type="continuationSeparator" w:id="0">
    <w:p w:rsidR="00E74238" w:rsidRDefault="00E74238" w:rsidP="00472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D" w:rsidRDefault="00472A2D">
    <w:pPr>
      <w:pStyle w:val="Encabezado"/>
    </w:pPr>
    <w:r>
      <w:t>WILLIAM ULISES RIVERA ITURRIAGA, ZOQUIPAN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05C76"/>
    <w:multiLevelType w:val="multilevel"/>
    <w:tmpl w:val="D45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8013B"/>
    <w:multiLevelType w:val="multilevel"/>
    <w:tmpl w:val="C99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1104D"/>
    <w:multiLevelType w:val="multilevel"/>
    <w:tmpl w:val="C0D09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4032"/>
    <w:rsid w:val="002F3453"/>
    <w:rsid w:val="0033765F"/>
    <w:rsid w:val="00472A2D"/>
    <w:rsid w:val="007F5885"/>
    <w:rsid w:val="00C1643E"/>
    <w:rsid w:val="00CF4032"/>
    <w:rsid w:val="00E74238"/>
    <w:rsid w:val="00FB07D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40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F4032"/>
  </w:style>
  <w:style w:type="character" w:styleId="Hipervnculo">
    <w:name w:val="Hyperlink"/>
    <w:basedOn w:val="Fuentedeprrafopredeter"/>
    <w:uiPriority w:val="99"/>
    <w:semiHidden/>
    <w:unhideWhenUsed/>
    <w:rsid w:val="00CF4032"/>
    <w:rPr>
      <w:color w:val="0000FF"/>
      <w:u w:val="single"/>
    </w:rPr>
  </w:style>
  <w:style w:type="character" w:styleId="nfasis">
    <w:name w:val="Emphasis"/>
    <w:basedOn w:val="Fuentedeprrafopredeter"/>
    <w:uiPriority w:val="20"/>
    <w:qFormat/>
    <w:rsid w:val="002F3453"/>
    <w:rPr>
      <w:i/>
      <w:iCs/>
    </w:rPr>
  </w:style>
  <w:style w:type="character" w:styleId="Textoennegrita">
    <w:name w:val="Strong"/>
    <w:basedOn w:val="Fuentedeprrafopredeter"/>
    <w:uiPriority w:val="22"/>
    <w:qFormat/>
    <w:rsid w:val="002F3453"/>
    <w:rPr>
      <w:b/>
      <w:bCs/>
    </w:rPr>
  </w:style>
  <w:style w:type="paragraph" w:styleId="Encabezado">
    <w:name w:val="header"/>
    <w:basedOn w:val="Normal"/>
    <w:link w:val="EncabezadoCar"/>
    <w:uiPriority w:val="99"/>
    <w:semiHidden/>
    <w:unhideWhenUsed/>
    <w:rsid w:val="00472A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72A2D"/>
  </w:style>
  <w:style w:type="paragraph" w:styleId="Piedepgina">
    <w:name w:val="footer"/>
    <w:basedOn w:val="Normal"/>
    <w:link w:val="PiedepginaCar"/>
    <w:uiPriority w:val="99"/>
    <w:semiHidden/>
    <w:unhideWhenUsed/>
    <w:rsid w:val="00472A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72A2D"/>
  </w:style>
</w:styles>
</file>

<file path=word/webSettings.xml><?xml version="1.0" encoding="utf-8"?>
<w:webSettings xmlns:r="http://schemas.openxmlformats.org/officeDocument/2006/relationships" xmlns:w="http://schemas.openxmlformats.org/wordprocessingml/2006/main">
  <w:divs>
    <w:div w:id="226772023">
      <w:bodyDiv w:val="1"/>
      <w:marLeft w:val="0"/>
      <w:marRight w:val="0"/>
      <w:marTop w:val="0"/>
      <w:marBottom w:val="0"/>
      <w:divBdr>
        <w:top w:val="none" w:sz="0" w:space="0" w:color="auto"/>
        <w:left w:val="none" w:sz="0" w:space="0" w:color="auto"/>
        <w:bottom w:val="none" w:sz="0" w:space="0" w:color="auto"/>
        <w:right w:val="none" w:sz="0" w:space="0" w:color="auto"/>
      </w:divBdr>
    </w:div>
    <w:div w:id="538319870">
      <w:bodyDiv w:val="1"/>
      <w:marLeft w:val="0"/>
      <w:marRight w:val="0"/>
      <w:marTop w:val="0"/>
      <w:marBottom w:val="0"/>
      <w:divBdr>
        <w:top w:val="none" w:sz="0" w:space="0" w:color="auto"/>
        <w:left w:val="none" w:sz="0" w:space="0" w:color="auto"/>
        <w:bottom w:val="none" w:sz="0" w:space="0" w:color="auto"/>
        <w:right w:val="none" w:sz="0" w:space="0" w:color="auto"/>
      </w:divBdr>
      <w:divsChild>
        <w:div w:id="122816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390179">
      <w:bodyDiv w:val="1"/>
      <w:marLeft w:val="0"/>
      <w:marRight w:val="0"/>
      <w:marTop w:val="0"/>
      <w:marBottom w:val="0"/>
      <w:divBdr>
        <w:top w:val="none" w:sz="0" w:space="0" w:color="auto"/>
        <w:left w:val="none" w:sz="0" w:space="0" w:color="auto"/>
        <w:bottom w:val="none" w:sz="0" w:space="0" w:color="auto"/>
        <w:right w:val="none" w:sz="0" w:space="0" w:color="auto"/>
      </w:divBdr>
      <w:divsChild>
        <w:div w:id="197606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2250</Words>
  <Characters>12377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2013-08-29T18:47:00Z</dcterms:created>
  <dcterms:modified xsi:type="dcterms:W3CDTF">2013-08-29T19:20:00Z</dcterms:modified>
</cp:coreProperties>
</file>