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D2" w:rsidRDefault="00C032D2" w:rsidP="00A52FED">
      <w:pPr>
        <w:pStyle w:val="NormalWeb"/>
        <w:rPr>
          <w:rFonts w:ascii="Arial" w:hAnsi="Arial" w:cs="Arial"/>
          <w:b/>
          <w:sz w:val="32"/>
          <w:szCs w:val="32"/>
        </w:rPr>
      </w:pPr>
    </w:p>
    <w:p w:rsidR="00C032D2" w:rsidRPr="00C032D2" w:rsidRDefault="00A52FED" w:rsidP="00A52FED">
      <w:pPr>
        <w:pStyle w:val="NormalWeb"/>
        <w:rPr>
          <w:rStyle w:val="Textoennegrita"/>
          <w:rFonts w:ascii="Arial" w:hAnsi="Arial" w:cs="Arial"/>
          <w:b w:val="0"/>
          <w:bCs w:val="0"/>
          <w:sz w:val="32"/>
          <w:szCs w:val="32"/>
        </w:rPr>
      </w:pPr>
      <w:r w:rsidRPr="00C032D2">
        <w:rPr>
          <w:rFonts w:ascii="Arial" w:hAnsi="Arial" w:cs="Arial"/>
          <w:b/>
          <w:sz w:val="32"/>
          <w:szCs w:val="32"/>
        </w:rPr>
        <w:t>T</w:t>
      </w:r>
      <w:r w:rsidR="00C032D2" w:rsidRPr="00C032D2">
        <w:rPr>
          <w:rFonts w:ascii="Arial" w:hAnsi="Arial" w:cs="Arial"/>
          <w:b/>
          <w:sz w:val="32"/>
          <w:szCs w:val="32"/>
        </w:rPr>
        <w:t>ipos de m</w:t>
      </w:r>
      <w:r w:rsidRPr="00C032D2">
        <w:rPr>
          <w:rFonts w:ascii="Arial" w:hAnsi="Arial" w:cs="Arial"/>
          <w:b/>
          <w:sz w:val="32"/>
          <w:szCs w:val="32"/>
        </w:rPr>
        <w:t>uestreo para la selección de los pacientes en los estudios clínicos</w:t>
      </w:r>
    </w:p>
    <w:p w:rsidR="00A52FED" w:rsidRPr="00C032D2" w:rsidRDefault="00A52FED" w:rsidP="00A52FED">
      <w:pPr>
        <w:pStyle w:val="NormalWeb"/>
        <w:rPr>
          <w:rFonts w:ascii="Arial" w:hAnsi="Arial" w:cs="Arial"/>
        </w:rPr>
      </w:pPr>
      <w:r>
        <w:rPr>
          <w:rStyle w:val="Textoennegrita"/>
          <w:rFonts w:ascii="Tahoma" w:hAnsi="Tahoma" w:cs="Tahoma"/>
        </w:rPr>
        <w:t xml:space="preserve">. </w:t>
      </w:r>
      <w:r w:rsidRPr="00C032D2">
        <w:rPr>
          <w:rStyle w:val="Textoennegrita"/>
          <w:rFonts w:ascii="Arial" w:hAnsi="Arial" w:cs="Arial"/>
        </w:rPr>
        <w:t>Estudios observacionales</w:t>
      </w:r>
    </w:p>
    <w:p w:rsidR="00A52FED" w:rsidRPr="00C032D2" w:rsidRDefault="00A52FED" w:rsidP="00A52FED">
      <w:pPr>
        <w:pStyle w:val="NormalWeb"/>
        <w:rPr>
          <w:rFonts w:ascii="Arial" w:hAnsi="Arial" w:cs="Arial"/>
        </w:rPr>
      </w:pPr>
      <w:r w:rsidRPr="00C032D2">
        <w:rPr>
          <w:rStyle w:val="Textoennegrita"/>
          <w:rFonts w:ascii="Arial" w:hAnsi="Arial" w:cs="Arial"/>
        </w:rPr>
        <w:t>a. Descriptivos</w:t>
      </w:r>
      <w:r w:rsidRPr="00C032D2">
        <w:rPr>
          <w:rFonts w:ascii="Arial" w:hAnsi="Arial" w:cs="Arial"/>
          <w:b/>
          <w:bCs/>
        </w:rPr>
        <w:br/>
      </w:r>
      <w:r w:rsidRPr="00C032D2">
        <w:rPr>
          <w:rFonts w:ascii="Arial" w:hAnsi="Arial" w:cs="Arial"/>
        </w:rPr>
        <w:t>• Reporte de casos</w:t>
      </w:r>
      <w:r w:rsidRPr="00C032D2">
        <w:rPr>
          <w:rFonts w:ascii="Arial" w:hAnsi="Arial" w:cs="Arial"/>
        </w:rPr>
        <w:br/>
        <w:t>• Serie de casos</w:t>
      </w:r>
      <w:r w:rsidRPr="00C032D2">
        <w:rPr>
          <w:rFonts w:ascii="Arial" w:hAnsi="Arial" w:cs="Arial"/>
        </w:rPr>
        <w:br/>
        <w:t>• Corte transversal</w:t>
      </w:r>
    </w:p>
    <w:p w:rsidR="00A52FED" w:rsidRPr="00C032D2" w:rsidRDefault="00A52FED" w:rsidP="00A52FED">
      <w:pPr>
        <w:pStyle w:val="NormalWeb"/>
        <w:rPr>
          <w:rFonts w:ascii="Arial" w:hAnsi="Arial" w:cs="Arial"/>
        </w:rPr>
      </w:pPr>
      <w:r w:rsidRPr="00C032D2">
        <w:rPr>
          <w:rStyle w:val="Textoennegrita"/>
          <w:rFonts w:ascii="Arial" w:hAnsi="Arial" w:cs="Arial"/>
        </w:rPr>
        <w:t>b. Analíticos</w:t>
      </w:r>
      <w:r w:rsidRPr="00C032D2">
        <w:rPr>
          <w:rFonts w:ascii="Arial" w:hAnsi="Arial" w:cs="Arial"/>
          <w:b/>
          <w:bCs/>
        </w:rPr>
        <w:br/>
      </w:r>
      <w:r w:rsidRPr="00C032D2">
        <w:rPr>
          <w:rFonts w:ascii="Arial" w:hAnsi="Arial" w:cs="Arial"/>
        </w:rPr>
        <w:t>• Casos y controles</w:t>
      </w:r>
      <w:r w:rsidRPr="00C032D2">
        <w:rPr>
          <w:rFonts w:ascii="Arial" w:hAnsi="Arial" w:cs="Arial"/>
        </w:rPr>
        <w:br/>
        <w:t>• Cohortes</w:t>
      </w:r>
      <w:r w:rsidRPr="00C032D2">
        <w:rPr>
          <w:rFonts w:ascii="Arial" w:hAnsi="Arial" w:cs="Arial"/>
        </w:rPr>
        <w:br/>
        <w:t>• Corte transversal (es analítico si tiene un grupo control).</w:t>
      </w:r>
    </w:p>
    <w:p w:rsidR="00A52FED" w:rsidRPr="00C032D2" w:rsidRDefault="00A52FED" w:rsidP="00A52FED">
      <w:pPr>
        <w:pStyle w:val="NormalWeb"/>
        <w:rPr>
          <w:rFonts w:ascii="Arial" w:hAnsi="Arial" w:cs="Arial"/>
        </w:rPr>
      </w:pPr>
      <w:r w:rsidRPr="00C032D2">
        <w:rPr>
          <w:rStyle w:val="Textoennegrita"/>
          <w:rFonts w:ascii="Arial" w:hAnsi="Arial" w:cs="Arial"/>
        </w:rPr>
        <w:t>2. Estudios experimentales (experimentos clínicos).</w:t>
      </w:r>
    </w:p>
    <w:p w:rsidR="00A52FED" w:rsidRPr="00C032D2" w:rsidRDefault="00A52FED" w:rsidP="00A52FED">
      <w:pPr>
        <w:pStyle w:val="NormalWeb"/>
        <w:rPr>
          <w:rFonts w:ascii="Arial" w:hAnsi="Arial" w:cs="Arial"/>
        </w:rPr>
      </w:pPr>
      <w:r w:rsidRPr="00C032D2">
        <w:rPr>
          <w:rStyle w:val="Textoennegrita"/>
          <w:rFonts w:ascii="Arial" w:hAnsi="Arial" w:cs="Arial"/>
        </w:rPr>
        <w:t>3. Estudios de concordancia</w:t>
      </w:r>
      <w:r w:rsidRPr="00C032D2">
        <w:rPr>
          <w:rFonts w:ascii="Arial" w:hAnsi="Arial" w:cs="Arial"/>
          <w:b/>
          <w:bCs/>
        </w:rPr>
        <w:br/>
      </w:r>
      <w:r w:rsidRPr="00C032D2">
        <w:rPr>
          <w:rFonts w:ascii="Arial" w:hAnsi="Arial" w:cs="Arial"/>
        </w:rPr>
        <w:t>a. Consistencia (intraobservador, interobser-vador, interprocesos).</w:t>
      </w:r>
      <w:r w:rsidRPr="00C032D2">
        <w:rPr>
          <w:rFonts w:ascii="Arial" w:hAnsi="Arial" w:cs="Arial"/>
        </w:rPr>
        <w:br/>
        <w:t>b. Conformidad (con un patrón de oro).</w:t>
      </w:r>
    </w:p>
    <w:p w:rsidR="00A52FED" w:rsidRPr="00C032D2" w:rsidRDefault="00A52FED" w:rsidP="00A52FED">
      <w:pPr>
        <w:pStyle w:val="NormalWeb"/>
        <w:rPr>
          <w:rFonts w:ascii="Arial" w:hAnsi="Arial" w:cs="Arial"/>
        </w:rPr>
      </w:pPr>
      <w:r w:rsidRPr="00C032D2">
        <w:rPr>
          <w:rStyle w:val="Textoennegrita"/>
          <w:rFonts w:ascii="Arial" w:hAnsi="Arial" w:cs="Arial"/>
        </w:rPr>
        <w:t>4. Otros</w:t>
      </w:r>
      <w:r w:rsidRPr="00C032D2">
        <w:rPr>
          <w:rFonts w:ascii="Arial" w:hAnsi="Arial" w:cs="Arial"/>
          <w:b/>
          <w:bCs/>
        </w:rPr>
        <w:br/>
      </w:r>
      <w:r w:rsidRPr="00C032D2">
        <w:rPr>
          <w:rFonts w:ascii="Arial" w:hAnsi="Arial" w:cs="Arial"/>
        </w:rPr>
        <w:t>a. Análisis de sobrevida (con frecuencia son un tipo especial de cohortes),</w:t>
      </w:r>
      <w:r w:rsidRPr="00C032D2">
        <w:rPr>
          <w:rFonts w:ascii="Arial" w:hAnsi="Arial" w:cs="Arial"/>
        </w:rPr>
        <w:br/>
        <w:t>b. Estudios de Costo-efectividad y Costo-beneficio (casi siempre son experimentos clínicos),</w:t>
      </w:r>
      <w:r w:rsidRPr="00C032D2">
        <w:rPr>
          <w:rFonts w:ascii="Arial" w:hAnsi="Arial" w:cs="Arial"/>
        </w:rPr>
        <w:br/>
        <w:t>c. Meta-análisis,</w:t>
      </w:r>
      <w:r w:rsidRPr="00C032D2">
        <w:rPr>
          <w:rFonts w:ascii="Arial" w:hAnsi="Arial" w:cs="Arial"/>
        </w:rPr>
        <w:br/>
        <w:t>d. Artículo de revisión (revisión extensa de la Bibliografía sobre un tema, con el sesgo particular del autor, sin análisis científico de la información mencionada).</w:t>
      </w:r>
    </w:p>
    <w:p w:rsidR="00A52FED" w:rsidRPr="00C032D2" w:rsidRDefault="00A52FED">
      <w:pPr>
        <w:rPr>
          <w:rFonts w:ascii="Arial" w:hAnsi="Arial" w:cs="Arial"/>
        </w:rPr>
      </w:pPr>
    </w:p>
    <w:p w:rsidR="00A52FED" w:rsidRDefault="00A52FED"/>
    <w:p w:rsidR="00A52FED" w:rsidRDefault="00A52FED"/>
    <w:tbl>
      <w:tblPr>
        <w:tblW w:w="10337" w:type="dxa"/>
        <w:tblCellSpacing w:w="0" w:type="dxa"/>
        <w:tblCellMar>
          <w:left w:w="0" w:type="dxa"/>
          <w:right w:w="0" w:type="dxa"/>
        </w:tblCellMar>
        <w:tblLook w:val="04A0"/>
      </w:tblPr>
      <w:tblGrid>
        <w:gridCol w:w="142"/>
        <w:gridCol w:w="9072"/>
        <w:gridCol w:w="762"/>
        <w:gridCol w:w="6"/>
        <w:gridCol w:w="6"/>
        <w:gridCol w:w="6"/>
        <w:gridCol w:w="6"/>
        <w:gridCol w:w="6"/>
        <w:gridCol w:w="331"/>
      </w:tblGrid>
      <w:tr w:rsidR="004E750B" w:rsidRPr="004E750B" w:rsidTr="00A52FED">
        <w:trPr>
          <w:gridAfter w:val="6"/>
          <w:wAfter w:w="361" w:type="dxa"/>
          <w:trHeight w:val="464"/>
          <w:tblCellSpacing w:w="0" w:type="dxa"/>
        </w:trPr>
        <w:tc>
          <w:tcPr>
            <w:tcW w:w="9976" w:type="dxa"/>
            <w:gridSpan w:val="3"/>
            <w:vMerge w:val="restart"/>
            <w:hideMark/>
          </w:tcPr>
          <w:p w:rsidR="00A52FED" w:rsidRDefault="00A52FED"/>
          <w:tbl>
            <w:tblPr>
              <w:tblW w:w="5000" w:type="pct"/>
              <w:tblCellSpacing w:w="0" w:type="dxa"/>
              <w:tblCellMar>
                <w:left w:w="0" w:type="dxa"/>
                <w:right w:w="0" w:type="dxa"/>
              </w:tblCellMar>
              <w:tblLook w:val="04A0"/>
            </w:tblPr>
            <w:tblGrid>
              <w:gridCol w:w="9976"/>
            </w:tblGrid>
            <w:tr w:rsidR="004E750B" w:rsidRPr="004E750B">
              <w:trPr>
                <w:tblCellSpacing w:w="0" w:type="dxa"/>
              </w:trPr>
              <w:tc>
                <w:tcPr>
                  <w:tcW w:w="0" w:type="auto"/>
                  <w:vAlign w:val="center"/>
                  <w:hideMark/>
                </w:tcPr>
                <w:p w:rsidR="00C032D2" w:rsidRDefault="00C032D2" w:rsidP="00A52FED">
                  <w:pPr>
                    <w:spacing w:after="0" w:line="240" w:lineRule="auto"/>
                    <w:rPr>
                      <w:rFonts w:ascii="Times New Roman" w:eastAsia="Times New Roman" w:hAnsi="Times New Roman" w:cs="Times New Roman"/>
                      <w:b/>
                      <w:bCs/>
                      <w:color w:val="000000"/>
                      <w:sz w:val="36"/>
                      <w:szCs w:val="36"/>
                      <w:lang w:eastAsia="es-MX"/>
                    </w:rPr>
                  </w:pPr>
                </w:p>
                <w:p w:rsidR="00C032D2" w:rsidRDefault="00C032D2" w:rsidP="00A52FED">
                  <w:pPr>
                    <w:spacing w:after="0" w:line="240" w:lineRule="auto"/>
                    <w:rPr>
                      <w:rFonts w:ascii="Times New Roman" w:eastAsia="Times New Roman" w:hAnsi="Times New Roman" w:cs="Times New Roman"/>
                      <w:b/>
                      <w:bCs/>
                      <w:color w:val="000000"/>
                      <w:sz w:val="36"/>
                      <w:szCs w:val="36"/>
                      <w:lang w:eastAsia="es-MX"/>
                    </w:rPr>
                  </w:pPr>
                </w:p>
                <w:p w:rsidR="00C032D2" w:rsidRDefault="00C032D2" w:rsidP="00A52FED">
                  <w:pPr>
                    <w:spacing w:after="0" w:line="240" w:lineRule="auto"/>
                    <w:rPr>
                      <w:rFonts w:ascii="Times New Roman" w:eastAsia="Times New Roman" w:hAnsi="Times New Roman" w:cs="Times New Roman"/>
                      <w:b/>
                      <w:bCs/>
                      <w:color w:val="000000"/>
                      <w:sz w:val="36"/>
                      <w:szCs w:val="36"/>
                      <w:lang w:eastAsia="es-MX"/>
                    </w:rPr>
                  </w:pPr>
                </w:p>
                <w:p w:rsidR="00C032D2" w:rsidRDefault="00C032D2" w:rsidP="00A52FED">
                  <w:pPr>
                    <w:spacing w:after="0" w:line="240" w:lineRule="auto"/>
                    <w:rPr>
                      <w:rFonts w:ascii="Times New Roman" w:eastAsia="Times New Roman" w:hAnsi="Times New Roman" w:cs="Times New Roman"/>
                      <w:b/>
                      <w:bCs/>
                      <w:color w:val="000000"/>
                      <w:sz w:val="28"/>
                      <w:szCs w:val="28"/>
                      <w:lang w:eastAsia="es-MX"/>
                    </w:rPr>
                  </w:pPr>
                </w:p>
                <w:p w:rsidR="00C032D2" w:rsidRDefault="00C032D2" w:rsidP="00A52FED">
                  <w:pPr>
                    <w:spacing w:after="0" w:line="240" w:lineRule="auto"/>
                    <w:rPr>
                      <w:rFonts w:ascii="Times New Roman" w:eastAsia="Times New Roman" w:hAnsi="Times New Roman" w:cs="Times New Roman"/>
                      <w:b/>
                      <w:bCs/>
                      <w:color w:val="000000"/>
                      <w:sz w:val="28"/>
                      <w:szCs w:val="28"/>
                      <w:lang w:eastAsia="es-MX"/>
                    </w:rPr>
                  </w:pPr>
                </w:p>
                <w:p w:rsidR="00C032D2" w:rsidRDefault="00C032D2" w:rsidP="00A52FED">
                  <w:pPr>
                    <w:spacing w:after="0" w:line="240" w:lineRule="auto"/>
                    <w:rPr>
                      <w:rFonts w:ascii="Times New Roman" w:eastAsia="Times New Roman" w:hAnsi="Times New Roman" w:cs="Times New Roman"/>
                      <w:b/>
                      <w:bCs/>
                      <w:color w:val="000000"/>
                      <w:sz w:val="28"/>
                      <w:szCs w:val="28"/>
                      <w:lang w:eastAsia="es-MX"/>
                    </w:rPr>
                  </w:pPr>
                </w:p>
                <w:p w:rsidR="004E750B" w:rsidRDefault="004E750B" w:rsidP="00A52FED">
                  <w:pPr>
                    <w:spacing w:after="0" w:line="240" w:lineRule="auto"/>
                    <w:rPr>
                      <w:rFonts w:ascii="Times New Roman" w:eastAsia="Times New Roman" w:hAnsi="Times New Roman" w:cs="Times New Roman"/>
                      <w:b/>
                      <w:bCs/>
                      <w:color w:val="000000"/>
                      <w:sz w:val="28"/>
                      <w:szCs w:val="28"/>
                      <w:lang w:eastAsia="es-MX"/>
                    </w:rPr>
                  </w:pPr>
                  <w:r w:rsidRPr="00C032D2">
                    <w:rPr>
                      <w:rFonts w:ascii="Times New Roman" w:eastAsia="Times New Roman" w:hAnsi="Times New Roman" w:cs="Times New Roman"/>
                      <w:b/>
                      <w:bCs/>
                      <w:color w:val="000000"/>
                      <w:sz w:val="28"/>
                      <w:szCs w:val="28"/>
                      <w:lang w:eastAsia="es-MX"/>
                    </w:rPr>
                    <w:t>L</w:t>
                  </w:r>
                  <w:r w:rsidR="00C032D2">
                    <w:rPr>
                      <w:rFonts w:ascii="Times New Roman" w:eastAsia="Times New Roman" w:hAnsi="Times New Roman" w:cs="Times New Roman"/>
                      <w:b/>
                      <w:bCs/>
                      <w:color w:val="000000"/>
                      <w:sz w:val="28"/>
                      <w:szCs w:val="28"/>
                      <w:lang w:eastAsia="es-MX"/>
                    </w:rPr>
                    <w:t>OS SESGOS MAS FRECUENTES</w:t>
                  </w:r>
                </w:p>
                <w:p w:rsidR="00C032D2" w:rsidRPr="00C032D2" w:rsidRDefault="00C032D2" w:rsidP="00A52FED">
                  <w:pPr>
                    <w:spacing w:after="0" w:line="240" w:lineRule="auto"/>
                    <w:rPr>
                      <w:rFonts w:ascii="Times New Roman" w:eastAsia="Times New Roman" w:hAnsi="Times New Roman" w:cs="Times New Roman"/>
                      <w:sz w:val="28"/>
                      <w:szCs w:val="28"/>
                      <w:lang w:eastAsia="es-MX"/>
                    </w:rPr>
                  </w:pPr>
                </w:p>
              </w:tc>
            </w:tr>
          </w:tbl>
          <w:p w:rsidR="004E750B" w:rsidRPr="004E750B" w:rsidRDefault="004E750B" w:rsidP="00896C1D">
            <w:pPr>
              <w:spacing w:after="0" w:line="240" w:lineRule="auto"/>
              <w:rPr>
                <w:rFonts w:ascii="Times New Roman" w:eastAsia="Times New Roman" w:hAnsi="Times New Roman" w:cs="Times New Roman"/>
                <w:sz w:val="24"/>
                <w:szCs w:val="24"/>
                <w:lang w:eastAsia="es-MX"/>
              </w:rPr>
            </w:pPr>
          </w:p>
        </w:tc>
      </w:tr>
      <w:tr w:rsidR="004E750B" w:rsidRPr="004E750B" w:rsidTr="00A52FED">
        <w:trPr>
          <w:trHeight w:val="705"/>
          <w:tblCellSpacing w:w="0" w:type="dxa"/>
        </w:trPr>
        <w:tc>
          <w:tcPr>
            <w:tcW w:w="9976" w:type="dxa"/>
            <w:gridSpan w:val="3"/>
            <w:vMerge/>
            <w:vAlign w:val="center"/>
            <w:hideMark/>
          </w:tcPr>
          <w:p w:rsidR="004E750B" w:rsidRPr="004E750B" w:rsidRDefault="004E750B" w:rsidP="00896C1D">
            <w:pPr>
              <w:spacing w:after="0" w:line="240" w:lineRule="auto"/>
              <w:rPr>
                <w:rFonts w:ascii="Times New Roman" w:eastAsia="Times New Roman" w:hAnsi="Times New Roman" w:cs="Times New Roman"/>
                <w:sz w:val="24"/>
                <w:szCs w:val="24"/>
                <w:lang w:eastAsia="es-MX"/>
              </w:rPr>
            </w:pPr>
          </w:p>
        </w:tc>
        <w:tc>
          <w:tcPr>
            <w:tcW w:w="30" w:type="dxa"/>
            <w:gridSpan w:val="5"/>
            <w:vMerge w:val="restart"/>
            <w:hideMark/>
          </w:tcPr>
          <w:tbl>
            <w:tblPr>
              <w:tblW w:w="5000" w:type="pct"/>
              <w:tblCellSpacing w:w="0" w:type="dxa"/>
              <w:tblCellMar>
                <w:left w:w="0" w:type="dxa"/>
                <w:right w:w="0" w:type="dxa"/>
              </w:tblCellMar>
              <w:tblLook w:val="04A0"/>
            </w:tblPr>
            <w:tblGrid>
              <w:gridCol w:w="30"/>
            </w:tblGrid>
            <w:tr w:rsidR="004E750B" w:rsidRPr="004E750B">
              <w:trPr>
                <w:tblCellSpacing w:w="0" w:type="dxa"/>
              </w:trPr>
              <w:tc>
                <w:tcPr>
                  <w:tcW w:w="0" w:type="auto"/>
                  <w:shd w:val="clear" w:color="auto" w:fill="FFFFFF"/>
                  <w:vAlign w:val="center"/>
                  <w:hideMark/>
                </w:tcPr>
                <w:p w:rsidR="004E750B" w:rsidRPr="004E750B" w:rsidRDefault="004E750B" w:rsidP="00896C1D">
                  <w:pPr>
                    <w:spacing w:after="0" w:line="240" w:lineRule="auto"/>
                    <w:rPr>
                      <w:rFonts w:ascii="Times New Roman" w:eastAsia="Times New Roman" w:hAnsi="Times New Roman" w:cs="Times New Roman"/>
                      <w:sz w:val="24"/>
                      <w:szCs w:val="24"/>
                      <w:lang w:eastAsia="es-MX"/>
                    </w:rPr>
                  </w:pPr>
                </w:p>
              </w:tc>
            </w:tr>
            <w:tr w:rsidR="004E750B" w:rsidRPr="004E750B">
              <w:trPr>
                <w:tblCellSpacing w:w="0" w:type="dxa"/>
              </w:trPr>
              <w:tc>
                <w:tcPr>
                  <w:tcW w:w="0" w:type="auto"/>
                  <w:shd w:val="clear" w:color="auto" w:fill="000000"/>
                  <w:vAlign w:val="center"/>
                  <w:hideMark/>
                </w:tcPr>
                <w:p w:rsidR="004E750B" w:rsidRPr="004E750B" w:rsidRDefault="004E750B" w:rsidP="00896C1D">
                  <w:pPr>
                    <w:spacing w:after="0" w:line="240" w:lineRule="auto"/>
                    <w:rPr>
                      <w:rFonts w:ascii="Times New Roman" w:eastAsia="Times New Roman" w:hAnsi="Times New Roman" w:cs="Times New Roman"/>
                      <w:sz w:val="24"/>
                      <w:szCs w:val="24"/>
                      <w:lang w:eastAsia="es-MX"/>
                    </w:rPr>
                  </w:pPr>
                </w:p>
              </w:tc>
            </w:tr>
          </w:tbl>
          <w:p w:rsidR="004E750B" w:rsidRPr="004E750B" w:rsidRDefault="004E750B" w:rsidP="00896C1D">
            <w:pPr>
              <w:spacing w:after="0" w:line="240" w:lineRule="auto"/>
              <w:rPr>
                <w:rFonts w:ascii="Times New Roman" w:eastAsia="Times New Roman" w:hAnsi="Times New Roman" w:cs="Times New Roman"/>
                <w:sz w:val="24"/>
                <w:szCs w:val="24"/>
                <w:lang w:eastAsia="es-MX"/>
              </w:rPr>
            </w:pPr>
          </w:p>
        </w:tc>
        <w:tc>
          <w:tcPr>
            <w:tcW w:w="331" w:type="dxa"/>
            <w:hideMark/>
          </w:tcPr>
          <w:p w:rsidR="004E750B" w:rsidRPr="004E750B" w:rsidRDefault="004E750B" w:rsidP="00896C1D">
            <w:pPr>
              <w:spacing w:after="0" w:line="240" w:lineRule="auto"/>
              <w:rPr>
                <w:rFonts w:ascii="Times New Roman" w:eastAsia="Times New Roman" w:hAnsi="Times New Roman" w:cs="Times New Roman"/>
                <w:sz w:val="24"/>
                <w:szCs w:val="24"/>
                <w:lang w:eastAsia="es-MX"/>
              </w:rPr>
            </w:pPr>
          </w:p>
        </w:tc>
      </w:tr>
      <w:tr w:rsidR="004E750B" w:rsidRPr="00C35BDC" w:rsidTr="00A52FED">
        <w:trPr>
          <w:trHeight w:val="75"/>
          <w:tblCellSpacing w:w="0" w:type="dxa"/>
        </w:trPr>
        <w:tc>
          <w:tcPr>
            <w:tcW w:w="142" w:type="dxa"/>
            <w:hideMark/>
          </w:tcPr>
          <w:p w:rsidR="004E750B" w:rsidRPr="004E750B" w:rsidRDefault="004E750B" w:rsidP="00896C1D">
            <w:pPr>
              <w:spacing w:after="0" w:line="240" w:lineRule="auto"/>
              <w:rPr>
                <w:rFonts w:ascii="Times New Roman" w:eastAsia="Times New Roman" w:hAnsi="Times New Roman" w:cs="Times New Roman"/>
                <w:sz w:val="8"/>
                <w:szCs w:val="24"/>
                <w:lang w:eastAsia="es-MX"/>
              </w:rPr>
            </w:pPr>
          </w:p>
        </w:tc>
        <w:tc>
          <w:tcPr>
            <w:tcW w:w="9072" w:type="dxa"/>
            <w:vMerge w:val="restart"/>
            <w:hideMark/>
          </w:tcPr>
          <w:p w:rsidR="004E750B" w:rsidRPr="00C35BDC" w:rsidRDefault="004E750B" w:rsidP="00896C1D">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b/>
                <w:bCs/>
                <w:sz w:val="24"/>
                <w:szCs w:val="24"/>
                <w:lang w:eastAsia="es-MX"/>
              </w:rPr>
              <w:t>Clasificación de tipos de sesgos</w:t>
            </w:r>
            <w:bookmarkStart w:id="0" w:name="1"/>
            <w:bookmarkEnd w:id="0"/>
            <w:r w:rsidRPr="00C35BDC">
              <w:rPr>
                <w:rFonts w:ascii="Arial" w:eastAsia="Times New Roman" w:hAnsi="Arial" w:cs="Arial"/>
                <w:sz w:val="24"/>
                <w:szCs w:val="24"/>
                <w:lang w:eastAsia="es-MX"/>
              </w:rPr>
              <w:br/>
              <w:t xml:space="preserve">Existen diferentes tipos de sesgos, la mayor parte de los cuales pueden agruparse sistematizarse en los siguientes tipos  : </w:t>
            </w:r>
          </w:p>
          <w:p w:rsidR="004E750B" w:rsidRPr="00C35BDC" w:rsidRDefault="004E750B" w:rsidP="00896C1D">
            <w:pPr>
              <w:numPr>
                <w:ilvl w:val="0"/>
                <w:numId w:val="1"/>
              </w:num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lang w:eastAsia="es-MX"/>
              </w:rPr>
              <w:t xml:space="preserve">Sesgos de: Medición </w:t>
            </w:r>
          </w:p>
          <w:p w:rsidR="004E750B" w:rsidRPr="00C35BDC" w:rsidRDefault="004E750B" w:rsidP="00C032D2">
            <w:pPr>
              <w:numPr>
                <w:ilvl w:val="0"/>
                <w:numId w:val="1"/>
              </w:num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lang w:eastAsia="es-MX"/>
              </w:rPr>
              <w:t xml:space="preserve">Sesgos de : Selección </w:t>
            </w:r>
            <w:bookmarkStart w:id="1" w:name="2"/>
            <w:bookmarkEnd w:id="1"/>
            <w:r w:rsidR="00C032D2" w:rsidRPr="00C35BDC">
              <w:rPr>
                <w:rFonts w:ascii="Arial" w:eastAsia="Times New Roman" w:hAnsi="Arial" w:cs="Arial"/>
                <w:sz w:val="24"/>
                <w:szCs w:val="24"/>
                <w:lang w:eastAsia="es-MX"/>
              </w:rPr>
              <w:t xml:space="preserve">                                                                                                      </w:t>
            </w:r>
            <w:r w:rsidRPr="00C35BDC">
              <w:rPr>
                <w:rFonts w:ascii="Arial" w:eastAsia="Times New Roman" w:hAnsi="Arial" w:cs="Arial"/>
                <w:sz w:val="24"/>
                <w:szCs w:val="24"/>
                <w:lang w:eastAsia="es-MX"/>
              </w:rPr>
              <w:t xml:space="preserve">A continuación se presenta una reseña de algunas modalidades de sesgos posible de observar: </w:t>
            </w:r>
          </w:p>
          <w:p w:rsidR="004E750B" w:rsidRPr="00C35BDC" w:rsidRDefault="004E750B" w:rsidP="00C032D2">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b/>
                <w:bCs/>
                <w:sz w:val="24"/>
                <w:szCs w:val="24"/>
                <w:lang w:eastAsia="es-MX"/>
              </w:rPr>
              <w:t xml:space="preserve">Sesgos de selección </w:t>
            </w:r>
            <w:r w:rsidR="00C032D2" w:rsidRPr="00C35BDC">
              <w:rPr>
                <w:rFonts w:ascii="Arial" w:eastAsia="Times New Roman" w:hAnsi="Arial" w:cs="Arial"/>
                <w:sz w:val="24"/>
                <w:szCs w:val="24"/>
                <w:lang w:eastAsia="es-MX"/>
              </w:rPr>
              <w:t xml:space="preserve">                                                                                                                 </w:t>
            </w:r>
            <w:r w:rsidRPr="00C35BDC">
              <w:rPr>
                <w:rFonts w:ascii="Arial" w:eastAsia="Times New Roman" w:hAnsi="Arial" w:cs="Arial"/>
                <w:sz w:val="24"/>
                <w:szCs w:val="24"/>
                <w:u w:val="single"/>
                <w:lang w:eastAsia="es-MX"/>
              </w:rPr>
              <w:t>Sesgo de Neymann (de prevalencia o incidencia):</w:t>
            </w:r>
            <w:r w:rsidRPr="00C35BDC">
              <w:rPr>
                <w:rFonts w:ascii="Arial" w:eastAsia="Times New Roman" w:hAnsi="Arial" w:cs="Arial"/>
                <w:sz w:val="24"/>
                <w:szCs w:val="24"/>
                <w:u w:val="single"/>
                <w:lang w:eastAsia="es-MX"/>
              </w:rPr>
              <w:br/>
            </w:r>
            <w:r w:rsidRPr="00C35BDC">
              <w:rPr>
                <w:rFonts w:ascii="Arial" w:eastAsia="Times New Roman" w:hAnsi="Arial" w:cs="Arial"/>
                <w:sz w:val="24"/>
                <w:szCs w:val="24"/>
                <w:lang w:eastAsia="es-MX"/>
              </w:rPr>
              <w:t xml:space="preserve">Se produce cuando la condición en estudio determina pérdida prematura por fallecimiento de los sujetos afectados por ella. </w:t>
            </w:r>
            <w:r w:rsidRPr="00C35BDC">
              <w:rPr>
                <w:rFonts w:ascii="Arial" w:eastAsia="Times New Roman" w:hAnsi="Arial" w:cs="Arial"/>
                <w:sz w:val="24"/>
                <w:szCs w:val="24"/>
                <w:lang w:eastAsia="es-MX"/>
              </w:rPr>
              <w:br/>
            </w:r>
            <w:r w:rsidRPr="00C35BDC">
              <w:rPr>
                <w:rFonts w:ascii="Arial" w:eastAsia="Times New Roman" w:hAnsi="Arial" w:cs="Arial"/>
                <w:sz w:val="24"/>
                <w:szCs w:val="24"/>
                <w:lang w:eastAsia="es-MX"/>
              </w:rPr>
              <w:br/>
            </w:r>
            <w:r w:rsidRPr="00C35BDC">
              <w:rPr>
                <w:rFonts w:ascii="Arial" w:eastAsia="Times New Roman" w:hAnsi="Arial" w:cs="Arial"/>
                <w:sz w:val="24"/>
                <w:szCs w:val="24"/>
                <w:u w:val="single"/>
                <w:lang w:eastAsia="es-MX"/>
              </w:rPr>
              <w:t xml:space="preserve">2. Sesgo de Berkson (de admisión). </w:t>
            </w:r>
            <w:r w:rsidRPr="00C35BDC">
              <w:rPr>
                <w:rFonts w:ascii="Arial" w:eastAsia="Times New Roman" w:hAnsi="Arial" w:cs="Arial"/>
                <w:sz w:val="24"/>
                <w:szCs w:val="24"/>
                <w:lang w:eastAsia="es-MX"/>
              </w:rPr>
              <w:br/>
              <w:t xml:space="preserve">Este sesgo, conocido como "falacia de Berkson", fue descrito en 1946 a partir de la existencia de asociación negativa entre cáncer (variable dependiente) y tuberculosis pulmonar. </w:t>
            </w:r>
          </w:p>
          <w:p w:rsidR="00A52FED" w:rsidRPr="00C35BDC" w:rsidRDefault="004E750B" w:rsidP="00896C1D">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u w:val="single"/>
                <w:lang w:eastAsia="es-MX"/>
              </w:rPr>
              <w:t>3) Sesgo de no respuesta o efecto del voluntario</w:t>
            </w:r>
            <w:r w:rsidRPr="00C35BDC">
              <w:rPr>
                <w:rFonts w:ascii="Arial" w:eastAsia="Times New Roman" w:hAnsi="Arial" w:cs="Arial"/>
                <w:sz w:val="24"/>
                <w:szCs w:val="24"/>
                <w:lang w:eastAsia="es-MX"/>
              </w:rPr>
              <w:t xml:space="preserve">. </w:t>
            </w:r>
            <w:r w:rsidRPr="00C35BDC">
              <w:rPr>
                <w:rFonts w:ascii="Arial" w:eastAsia="Times New Roman" w:hAnsi="Arial" w:cs="Arial"/>
                <w:sz w:val="24"/>
                <w:szCs w:val="24"/>
                <w:lang w:eastAsia="es-MX"/>
              </w:rPr>
              <w:br/>
              <w:t>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r w:rsidRPr="00C35BDC">
              <w:rPr>
                <w:rFonts w:ascii="Arial" w:eastAsia="Times New Roman" w:hAnsi="Arial" w:cs="Arial"/>
                <w:sz w:val="24"/>
                <w:szCs w:val="24"/>
                <w:lang w:eastAsia="es-MX"/>
              </w:rPr>
              <w:br/>
            </w:r>
          </w:p>
          <w:p w:rsidR="004E750B" w:rsidRPr="00C35BDC" w:rsidRDefault="004E750B" w:rsidP="00896C1D">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u w:val="single"/>
                <w:lang w:eastAsia="es-MX"/>
              </w:rPr>
              <w:t>4) Sesgo de membresía (o de pertenencia)</w:t>
            </w:r>
            <w:r w:rsidR="00896C1D" w:rsidRPr="00C35BDC">
              <w:rPr>
                <w:rFonts w:ascii="Arial" w:eastAsia="Times New Roman" w:hAnsi="Arial" w:cs="Arial"/>
                <w:sz w:val="24"/>
                <w:szCs w:val="24"/>
                <w:lang w:eastAsia="es-MX"/>
              </w:rPr>
              <w:t>.</w:t>
            </w:r>
            <w:r w:rsidRPr="00C35BDC">
              <w:rPr>
                <w:rFonts w:ascii="Arial" w:eastAsia="Times New Roman" w:hAnsi="Arial" w:cs="Arial"/>
                <w:sz w:val="24"/>
                <w:szCs w:val="24"/>
                <w:lang w:eastAsia="es-MX"/>
              </w:rPr>
              <w:br/>
              <w:t xml:space="preserve">Se produce cuando entre los sujetos evaluados se presentan subgrupos de sujetos que comparten algún atributo en particular, relacionado positiva o negativamente con la variable en estudio.. </w:t>
            </w:r>
          </w:p>
          <w:p w:rsidR="004E750B" w:rsidRPr="00C35BDC" w:rsidRDefault="004E750B" w:rsidP="00896C1D">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u w:val="single"/>
                <w:lang w:eastAsia="es-MX"/>
              </w:rPr>
              <w:t>5) Sesgo del procedimiento de selección</w:t>
            </w:r>
            <w:r w:rsidR="00896C1D" w:rsidRPr="00C35BDC">
              <w:rPr>
                <w:rFonts w:ascii="Arial" w:eastAsia="Times New Roman" w:hAnsi="Arial" w:cs="Arial"/>
                <w:sz w:val="24"/>
                <w:szCs w:val="24"/>
                <w:lang w:eastAsia="es-MX"/>
              </w:rPr>
              <w:t>.</w:t>
            </w:r>
            <w:r w:rsidRPr="00C35BDC">
              <w:rPr>
                <w:rFonts w:ascii="Arial" w:eastAsia="Times New Roman" w:hAnsi="Arial" w:cs="Arial"/>
                <w:sz w:val="24"/>
                <w:szCs w:val="24"/>
                <w:lang w:eastAsia="es-MX"/>
              </w:rPr>
              <w:t xml:space="preserve"> </w:t>
            </w:r>
            <w:r w:rsidRPr="00C35BDC">
              <w:rPr>
                <w:rFonts w:ascii="Arial" w:eastAsia="Times New Roman" w:hAnsi="Arial" w:cs="Arial"/>
                <w:sz w:val="24"/>
                <w:szCs w:val="24"/>
                <w:lang w:eastAsia="es-MX"/>
              </w:rPr>
              <w:br/>
              <w:t xml:space="preserve">Puede observarse en diseños de investigación experimentales (ensayos clínicos controlados), en los cuales no se respeta el principio de aleatoriedad en la asignación a los grupos de experimentación y de estudio. </w:t>
            </w:r>
          </w:p>
          <w:p w:rsidR="004E750B" w:rsidRPr="00C35BDC" w:rsidRDefault="004E750B" w:rsidP="00896C1D">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b/>
                <w:bCs/>
                <w:sz w:val="24"/>
                <w:szCs w:val="24"/>
                <w:lang w:eastAsia="es-MX"/>
              </w:rPr>
              <w:t>Sesgos de medición</w:t>
            </w:r>
          </w:p>
          <w:p w:rsidR="004E750B" w:rsidRPr="00C35BDC" w:rsidRDefault="004E750B" w:rsidP="00896C1D">
            <w:pPr>
              <w:spacing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u w:val="single"/>
                <w:lang w:eastAsia="es-MX"/>
              </w:rPr>
              <w:t>1) Sesgo de procedimientos: (Feinstein, 1985)</w:t>
            </w:r>
            <w:r w:rsidRPr="00C35BDC">
              <w:rPr>
                <w:rFonts w:ascii="Arial" w:eastAsia="Times New Roman" w:hAnsi="Arial" w:cs="Arial"/>
                <w:sz w:val="24"/>
                <w:szCs w:val="24"/>
                <w:lang w:eastAsia="es-MX"/>
              </w:rPr>
              <w:t xml:space="preserve"> </w:t>
            </w:r>
            <w:r w:rsidRPr="00C35BDC">
              <w:rPr>
                <w:rFonts w:ascii="Arial" w:eastAsia="Times New Roman" w:hAnsi="Arial" w:cs="Arial"/>
                <w:sz w:val="24"/>
                <w:szCs w:val="24"/>
                <w:lang w:eastAsia="es-MX"/>
              </w:rPr>
              <w:br/>
              <w:t xml:space="preserve">Ocasionalmente el grupo que presenta la variable dependiente resulta ser más interesante para el investigador que el grupo que participa como control. Por esta </w:t>
            </w:r>
            <w:r w:rsidRPr="00C35BDC">
              <w:rPr>
                <w:rFonts w:ascii="Arial" w:eastAsia="Times New Roman" w:hAnsi="Arial" w:cs="Arial"/>
                <w:sz w:val="24"/>
                <w:szCs w:val="24"/>
                <w:lang w:eastAsia="es-MX"/>
              </w:rPr>
              <w:lastRenderedPageBreak/>
              <w:t xml:space="preserve">circunstancia, en el procedimiento de encuestaje, estos sujetos pueden concitar mayor preocupación e interés por conseguir la información. En el caso de un estudio en el que exista intervención, el sujeto del grupo experimental puede verse beneficiado con una mayor acuciosidad en la observación. </w:t>
            </w:r>
          </w:p>
          <w:p w:rsidR="00151DEE" w:rsidRPr="00C35BDC" w:rsidRDefault="004E750B" w:rsidP="00896C1D">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u w:val="single"/>
                <w:lang w:eastAsia="es-MX"/>
              </w:rPr>
              <w:t>2) Sesgo de memoria (recall biass)</w:t>
            </w:r>
            <w:r w:rsidRPr="00C35BDC">
              <w:rPr>
                <w:rFonts w:ascii="Arial" w:eastAsia="Times New Roman" w:hAnsi="Arial" w:cs="Arial"/>
                <w:sz w:val="24"/>
                <w:szCs w:val="24"/>
                <w:lang w:eastAsia="es-MX"/>
              </w:rPr>
              <w:t xml:space="preserve"> </w:t>
            </w:r>
            <w:r w:rsidRPr="00C35BDC">
              <w:rPr>
                <w:rFonts w:ascii="Arial" w:eastAsia="Times New Roman" w:hAnsi="Arial" w:cs="Arial"/>
                <w:sz w:val="24"/>
                <w:szCs w:val="24"/>
                <w:lang w:eastAsia="es-MX"/>
              </w:rPr>
              <w:br/>
              <w:t>Frecuente de observar en estudios retrospectivos, en los cuales se pregunta por antecedente de exposición a determinadas circunstancias en diferentes períodos de la vida, existiendo la posibilidad de olvido. Esta dificultad se produce en aquellas mediciones que de p</w:t>
            </w:r>
            <w:r w:rsidR="00151DEE" w:rsidRPr="00C35BDC">
              <w:rPr>
                <w:rFonts w:ascii="Arial" w:eastAsia="Times New Roman" w:hAnsi="Arial" w:cs="Arial"/>
                <w:sz w:val="24"/>
                <w:szCs w:val="24"/>
                <w:lang w:eastAsia="es-MX"/>
              </w:rPr>
              <w:t xml:space="preserve">or sí son de alta variabilidad. </w:t>
            </w:r>
          </w:p>
          <w:p w:rsidR="004E750B" w:rsidRPr="00C35BDC" w:rsidRDefault="004E750B" w:rsidP="00896C1D">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u w:val="single"/>
                <w:lang w:eastAsia="es-MX"/>
              </w:rPr>
              <w:t>3) Sesgo por falta de sensibilidad de un instrumento.</w:t>
            </w:r>
            <w:r w:rsidRPr="00C35BDC">
              <w:rPr>
                <w:rFonts w:ascii="Arial" w:eastAsia="Times New Roman" w:hAnsi="Arial" w:cs="Arial"/>
                <w:sz w:val="24"/>
                <w:szCs w:val="24"/>
                <w:lang w:eastAsia="es-MX"/>
              </w:rPr>
              <w:t xml:space="preserve"> </w:t>
            </w:r>
            <w:r w:rsidRPr="00C35BDC">
              <w:rPr>
                <w:rFonts w:ascii="Arial" w:eastAsia="Times New Roman" w:hAnsi="Arial" w:cs="Arial"/>
                <w:sz w:val="24"/>
                <w:szCs w:val="24"/>
                <w:lang w:eastAsia="es-MX"/>
              </w:rPr>
              <w:br/>
              <w:t xml:space="preserve">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 </w:t>
            </w:r>
          </w:p>
          <w:p w:rsidR="00151DEE" w:rsidRPr="00C35BDC" w:rsidRDefault="004E750B" w:rsidP="00896C1D">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lang w:eastAsia="es-MX"/>
              </w:rPr>
              <w:t>4</w:t>
            </w:r>
            <w:r w:rsidRPr="00C35BDC">
              <w:rPr>
                <w:rFonts w:ascii="Arial" w:eastAsia="Times New Roman" w:hAnsi="Arial" w:cs="Arial"/>
                <w:sz w:val="24"/>
                <w:szCs w:val="24"/>
                <w:u w:val="single"/>
                <w:lang w:eastAsia="es-MX"/>
              </w:rPr>
              <w:t>) Sesgo de detección (Feinstein, Sosin, 1985)</w:t>
            </w:r>
            <w:r w:rsidRPr="00C35BDC">
              <w:rPr>
                <w:rFonts w:ascii="Arial" w:eastAsia="Times New Roman" w:hAnsi="Arial" w:cs="Arial"/>
                <w:sz w:val="24"/>
                <w:szCs w:val="24"/>
                <w:lang w:eastAsia="es-MX"/>
              </w:rPr>
              <w:t xml:space="preserve"> </w:t>
            </w:r>
            <w:r w:rsidRPr="00C35BDC">
              <w:rPr>
                <w:rFonts w:ascii="Arial" w:eastAsia="Times New Roman" w:hAnsi="Arial" w:cs="Arial"/>
                <w:sz w:val="24"/>
                <w:szCs w:val="24"/>
                <w:lang w:eastAsia="es-MX"/>
              </w:rPr>
              <w:br/>
              <w:t xml:space="preserve">Su ocurrencia se explica por la introducción de metodologías diagnósticas diferentes a las inicialmente utilizadas al comienzo de un estudio. </w:t>
            </w:r>
          </w:p>
          <w:p w:rsidR="004E750B" w:rsidRPr="00C35BDC" w:rsidRDefault="004E750B" w:rsidP="00C032D2">
            <w:pPr>
              <w:spacing w:before="100" w:beforeAutospacing="1" w:after="100" w:afterAutospacing="1" w:line="240" w:lineRule="auto"/>
              <w:rPr>
                <w:rFonts w:ascii="Arial" w:eastAsia="Times New Roman" w:hAnsi="Arial" w:cs="Arial"/>
                <w:sz w:val="24"/>
                <w:szCs w:val="24"/>
                <w:lang w:eastAsia="es-MX"/>
              </w:rPr>
            </w:pPr>
            <w:r w:rsidRPr="00C35BDC">
              <w:rPr>
                <w:rFonts w:ascii="Arial" w:eastAsia="Times New Roman" w:hAnsi="Arial" w:cs="Arial"/>
                <w:sz w:val="24"/>
                <w:szCs w:val="24"/>
                <w:u w:val="single"/>
                <w:lang w:eastAsia="es-MX"/>
              </w:rPr>
              <w:t>5) Sesgo de adaptación (compliance).</w:t>
            </w:r>
            <w:r w:rsidRPr="00C35BDC">
              <w:rPr>
                <w:rFonts w:ascii="Arial" w:eastAsia="Times New Roman" w:hAnsi="Arial" w:cs="Arial"/>
                <w:sz w:val="24"/>
                <w:szCs w:val="24"/>
                <w:lang w:eastAsia="es-MX"/>
              </w:rPr>
              <w:t xml:space="preserve"> </w:t>
            </w:r>
            <w:r w:rsidRPr="00C35BDC">
              <w:rPr>
                <w:rFonts w:ascii="Arial" w:eastAsia="Times New Roman" w:hAnsi="Arial" w:cs="Arial"/>
                <w:sz w:val="24"/>
                <w:szCs w:val="24"/>
                <w:lang w:eastAsia="es-MX"/>
              </w:rPr>
              <w:br/>
              <w:t xml:space="preserve">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w:t>
            </w:r>
            <w:bookmarkStart w:id="2" w:name="ref"/>
            <w:bookmarkEnd w:id="2"/>
          </w:p>
        </w:tc>
        <w:tc>
          <w:tcPr>
            <w:tcW w:w="762" w:type="dxa"/>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c>
          <w:tcPr>
            <w:tcW w:w="0" w:type="auto"/>
            <w:gridSpan w:val="5"/>
            <w:vMerge/>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c>
          <w:tcPr>
            <w:tcW w:w="0" w:type="auto"/>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r>
      <w:tr w:rsidR="004E750B" w:rsidRPr="00C35BDC" w:rsidTr="00A52FED">
        <w:trPr>
          <w:tblCellSpacing w:w="0" w:type="dxa"/>
        </w:trPr>
        <w:tc>
          <w:tcPr>
            <w:tcW w:w="142" w:type="dxa"/>
            <w:vAlign w:val="center"/>
            <w:hideMark/>
          </w:tcPr>
          <w:p w:rsidR="004E750B" w:rsidRPr="004E750B" w:rsidRDefault="004E750B" w:rsidP="00896C1D">
            <w:pPr>
              <w:spacing w:after="0" w:line="240" w:lineRule="auto"/>
              <w:rPr>
                <w:rFonts w:ascii="Times New Roman" w:eastAsia="Times New Roman" w:hAnsi="Times New Roman" w:cs="Times New Roman"/>
                <w:sz w:val="24"/>
                <w:szCs w:val="24"/>
                <w:lang w:eastAsia="es-MX"/>
              </w:rPr>
            </w:pPr>
          </w:p>
        </w:tc>
        <w:tc>
          <w:tcPr>
            <w:tcW w:w="9072" w:type="dxa"/>
            <w:vMerge/>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c>
          <w:tcPr>
            <w:tcW w:w="762" w:type="dxa"/>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c>
          <w:tcPr>
            <w:tcW w:w="0" w:type="auto"/>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c>
          <w:tcPr>
            <w:tcW w:w="0" w:type="auto"/>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c>
          <w:tcPr>
            <w:tcW w:w="0" w:type="auto"/>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c>
          <w:tcPr>
            <w:tcW w:w="0" w:type="auto"/>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c>
          <w:tcPr>
            <w:tcW w:w="0" w:type="auto"/>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c>
          <w:tcPr>
            <w:tcW w:w="0" w:type="auto"/>
            <w:vAlign w:val="center"/>
            <w:hideMark/>
          </w:tcPr>
          <w:p w:rsidR="004E750B" w:rsidRPr="00C35BDC" w:rsidRDefault="004E750B" w:rsidP="00896C1D">
            <w:pPr>
              <w:spacing w:after="0" w:line="240" w:lineRule="auto"/>
              <w:rPr>
                <w:rFonts w:ascii="Arial" w:eastAsia="Times New Roman" w:hAnsi="Arial" w:cs="Arial"/>
                <w:sz w:val="24"/>
                <w:szCs w:val="24"/>
                <w:lang w:eastAsia="es-MX"/>
              </w:rPr>
            </w:pPr>
          </w:p>
        </w:tc>
      </w:tr>
    </w:tbl>
    <w:p w:rsidR="000A0500" w:rsidRPr="00C032D2" w:rsidRDefault="000A0500" w:rsidP="00896C1D">
      <w:pPr>
        <w:rPr>
          <w:rFonts w:ascii="Arial" w:hAnsi="Arial" w:cs="Arial"/>
          <w:b/>
          <w:sz w:val="26"/>
          <w:szCs w:val="26"/>
        </w:rPr>
      </w:pPr>
    </w:p>
    <w:p w:rsidR="00A52FED" w:rsidRPr="00C032D2" w:rsidRDefault="00A52FED" w:rsidP="00A52FED">
      <w:pPr>
        <w:jc w:val="both"/>
        <w:rPr>
          <w:rFonts w:ascii="Arial" w:hAnsi="Arial" w:cs="Arial"/>
          <w:b/>
          <w:sz w:val="24"/>
          <w:szCs w:val="24"/>
        </w:rPr>
      </w:pPr>
      <w:r w:rsidRPr="00C032D2">
        <w:rPr>
          <w:rFonts w:ascii="Arial" w:hAnsi="Arial" w:cs="Arial"/>
          <w:b/>
          <w:sz w:val="24"/>
          <w:szCs w:val="24"/>
        </w:rPr>
        <w:t>CRITERIOS DE CAUSALIDAD DE  BRADFORD - HILL</w:t>
      </w:r>
    </w:p>
    <w:p w:rsidR="00A52FED" w:rsidRPr="00C032D2" w:rsidRDefault="00A52FED" w:rsidP="00A52FED">
      <w:pPr>
        <w:jc w:val="both"/>
        <w:rPr>
          <w:rFonts w:ascii="Arial" w:hAnsi="Arial" w:cs="Arial"/>
          <w:sz w:val="24"/>
          <w:szCs w:val="24"/>
        </w:rPr>
      </w:pPr>
      <w:r w:rsidRPr="00C032D2">
        <w:rPr>
          <w:rStyle w:val="googqs-tidbit1"/>
          <w:rFonts w:ascii="Arial" w:hAnsi="Arial" w:cs="Arial"/>
          <w:sz w:val="24"/>
          <w:szCs w:val="24"/>
        </w:rPr>
        <w:t>El modelo de Bradford-Hill (1965), propone los siguientes criterios de causalidad</w:t>
      </w:r>
    </w:p>
    <w:p w:rsidR="00A52FED" w:rsidRPr="00C032D2" w:rsidRDefault="00A52FED" w:rsidP="00A52FED">
      <w:pPr>
        <w:pStyle w:val="NormalWeb"/>
        <w:jc w:val="both"/>
        <w:rPr>
          <w:rFonts w:ascii="Arial" w:hAnsi="Arial" w:cs="Arial"/>
        </w:rPr>
      </w:pPr>
      <w:r w:rsidRPr="00C032D2">
        <w:rPr>
          <w:rFonts w:ascii="Arial" w:hAnsi="Arial" w:cs="Arial"/>
        </w:rPr>
        <w:t xml:space="preserve">• </w:t>
      </w:r>
      <w:r w:rsidRPr="00C032D2">
        <w:rPr>
          <w:rFonts w:ascii="Arial" w:hAnsi="Arial" w:cs="Arial"/>
          <w:b/>
          <w:bCs/>
        </w:rPr>
        <w:t xml:space="preserve">Fuerza de </w:t>
      </w:r>
      <w:hyperlink r:id="rId7" w:anchor="Asociación" w:tgtFrame="Ventana" w:history="1">
        <w:r w:rsidRPr="00C032D2">
          <w:rPr>
            <w:rStyle w:val="Hipervnculo"/>
            <w:rFonts w:ascii="Arial" w:hAnsi="Arial" w:cs="Arial"/>
            <w:b/>
            <w:bCs/>
            <w:color w:val="000000"/>
            <w:sz w:val="24"/>
            <w:szCs w:val="24"/>
          </w:rPr>
          <w:t>Asociación</w:t>
        </w:r>
      </w:hyperlink>
      <w:r w:rsidRPr="00C032D2">
        <w:rPr>
          <w:rFonts w:ascii="Arial" w:hAnsi="Arial" w:cs="Arial"/>
        </w:rPr>
        <w:t>. Determinada por la estrecha relación entre la causa y el efecto adverso a la salud. La fuerza de asociación depende de la frecuencia relativa de otras causas. La asociación causal es intensa cuando el factor de riesgo está asociado a un alto riesgo relativo (RR). Los RR que pasan de un valor de 2 se considera que expresan una fuerte asociación.</w:t>
      </w:r>
    </w:p>
    <w:p w:rsidR="00A52FED" w:rsidRPr="00C032D2" w:rsidRDefault="00A52FED" w:rsidP="00A52FED">
      <w:pPr>
        <w:pStyle w:val="NormalWeb"/>
        <w:jc w:val="both"/>
        <w:rPr>
          <w:rFonts w:ascii="Arial" w:hAnsi="Arial" w:cs="Arial"/>
        </w:rPr>
      </w:pPr>
      <w:r w:rsidRPr="00C032D2">
        <w:rPr>
          <w:rFonts w:ascii="Arial" w:hAnsi="Arial" w:cs="Arial"/>
        </w:rPr>
        <w:t xml:space="preserve">• </w:t>
      </w:r>
      <w:hyperlink r:id="rId8" w:anchor="Consistencia" w:tgtFrame="Ventana" w:history="1">
        <w:r w:rsidRPr="00C032D2">
          <w:rPr>
            <w:rStyle w:val="Hipervnculo"/>
            <w:rFonts w:ascii="Arial" w:hAnsi="Arial" w:cs="Arial"/>
            <w:b/>
            <w:bCs/>
            <w:color w:val="000000"/>
            <w:sz w:val="24"/>
            <w:szCs w:val="24"/>
          </w:rPr>
          <w:t>Consistencia</w:t>
        </w:r>
      </w:hyperlink>
      <w:r w:rsidRPr="00C032D2">
        <w:rPr>
          <w:rFonts w:ascii="Arial" w:hAnsi="Arial" w:cs="Arial"/>
        </w:rPr>
        <w:t xml:space="preserve">. La asociación causa-efecto ha sido demostrada por diferentes estudios de investigación, en poblaciones diferentes y bajo circunstancias distintas. </w:t>
      </w:r>
    </w:p>
    <w:p w:rsidR="00A52FED" w:rsidRPr="00C032D2" w:rsidRDefault="00A52FED" w:rsidP="00A52FED">
      <w:pPr>
        <w:pStyle w:val="NormalWeb"/>
        <w:jc w:val="both"/>
        <w:rPr>
          <w:rFonts w:ascii="Arial" w:hAnsi="Arial" w:cs="Arial"/>
        </w:rPr>
      </w:pPr>
      <w:r w:rsidRPr="00C032D2">
        <w:rPr>
          <w:rFonts w:ascii="Arial" w:hAnsi="Arial" w:cs="Arial"/>
        </w:rPr>
        <w:lastRenderedPageBreak/>
        <w:t>Sin embargo, la falta de consistencia no excluye la asociación causal, ya que distintos niveles de exposición y demás condiciones pueden disminuir el efecto del factor causal en determinados estudios.</w:t>
      </w:r>
    </w:p>
    <w:p w:rsidR="00A52FED" w:rsidRPr="00C032D2" w:rsidRDefault="00A52FED" w:rsidP="00A52FED">
      <w:pPr>
        <w:pStyle w:val="NormalWeb"/>
        <w:jc w:val="both"/>
        <w:rPr>
          <w:rFonts w:ascii="Arial" w:hAnsi="Arial" w:cs="Arial"/>
        </w:rPr>
      </w:pPr>
      <w:r w:rsidRPr="00C032D2">
        <w:rPr>
          <w:rFonts w:ascii="Arial" w:hAnsi="Arial" w:cs="Arial"/>
        </w:rPr>
        <w:t xml:space="preserve"> • </w:t>
      </w:r>
      <w:hyperlink r:id="rId9" w:anchor="Especificidad" w:tgtFrame="Ventana" w:history="1">
        <w:r w:rsidRPr="00C032D2">
          <w:rPr>
            <w:rStyle w:val="Hipervnculo"/>
            <w:rFonts w:ascii="Arial" w:hAnsi="Arial" w:cs="Arial"/>
            <w:b/>
            <w:bCs/>
            <w:color w:val="000000"/>
            <w:sz w:val="24"/>
            <w:szCs w:val="24"/>
          </w:rPr>
          <w:t>Especificidad</w:t>
        </w:r>
      </w:hyperlink>
      <w:r w:rsidRPr="00C032D2">
        <w:rPr>
          <w:rFonts w:ascii="Arial" w:hAnsi="Arial" w:cs="Arial"/>
          <w:i/>
          <w:iCs/>
        </w:rPr>
        <w:t>.</w:t>
      </w:r>
      <w:r w:rsidRPr="00C032D2">
        <w:rPr>
          <w:rFonts w:ascii="Arial" w:hAnsi="Arial" w:cs="Arial"/>
        </w:rPr>
        <w:t xml:space="preserve"> Una causa origina un efecto en particular. Este  criterio, no se puede utilizar para rechazar una hipótesis causal, porque muchos síntomas y signos obedecen a una causa, y una enfermedad a veces es el resultado de múltiples causas.</w:t>
      </w:r>
    </w:p>
    <w:p w:rsidR="00A52FED" w:rsidRPr="00C032D2" w:rsidRDefault="00A52FED" w:rsidP="00A52FED">
      <w:pPr>
        <w:pStyle w:val="NormalWeb"/>
        <w:jc w:val="both"/>
        <w:rPr>
          <w:rFonts w:ascii="Arial" w:hAnsi="Arial" w:cs="Arial"/>
        </w:rPr>
      </w:pPr>
      <w:r w:rsidRPr="00C032D2">
        <w:rPr>
          <w:rFonts w:ascii="Arial" w:hAnsi="Arial" w:cs="Arial"/>
        </w:rPr>
        <w:t xml:space="preserve">• </w:t>
      </w:r>
      <w:r w:rsidRPr="00C032D2">
        <w:rPr>
          <w:rFonts w:ascii="Arial" w:hAnsi="Arial" w:cs="Arial"/>
          <w:b/>
          <w:bCs/>
        </w:rPr>
        <w:t>Temporalidad</w:t>
      </w:r>
      <w:r w:rsidRPr="00C032D2">
        <w:rPr>
          <w:rFonts w:ascii="Arial" w:hAnsi="Arial" w:cs="Arial"/>
        </w:rPr>
        <w:t>. Obviamente una causa debe preceder a su efecto; no obstante, a veces es difícil definir con qué grado de certeza ocurre esto. En general, el comienzo de las enfermedades ocupacionales comprende un largo período de latencia entre la exposición y la ocurrencia del efecto a la salud. Asimismo, otro aspecto que influye en la temporalidad es la susceptibilidad de la persona expuesta, y la utilización y eficacia de las medidas de prevención y control de riesgos.</w:t>
      </w:r>
    </w:p>
    <w:p w:rsidR="00A52FED" w:rsidRPr="00C032D2" w:rsidRDefault="00A52FED" w:rsidP="00A52FED">
      <w:pPr>
        <w:pStyle w:val="NormalWeb"/>
        <w:jc w:val="both"/>
        <w:rPr>
          <w:rFonts w:ascii="Arial" w:hAnsi="Arial" w:cs="Arial"/>
        </w:rPr>
      </w:pPr>
      <w:r w:rsidRPr="00C032D2">
        <w:rPr>
          <w:rFonts w:ascii="Arial" w:hAnsi="Arial" w:cs="Arial"/>
        </w:rPr>
        <w:t xml:space="preserve">• </w:t>
      </w:r>
      <w:r w:rsidRPr="00C032D2">
        <w:rPr>
          <w:rFonts w:ascii="Arial" w:hAnsi="Arial" w:cs="Arial"/>
          <w:b/>
          <w:bCs/>
        </w:rPr>
        <w:t>Gradiente biológico (Relación dosis-respuesta)</w:t>
      </w:r>
      <w:r w:rsidRPr="00C032D2">
        <w:rPr>
          <w:rFonts w:ascii="Arial" w:hAnsi="Arial" w:cs="Arial"/>
        </w:rPr>
        <w:t xml:space="preserve">. La frecuencia de la enfermedad aumenta con la dosis o el nivel de exposición. La demostración de la relación dosis-respuesta tiene implicaciones importantes: </w:t>
      </w:r>
    </w:p>
    <w:p w:rsidR="00A52FED" w:rsidRPr="00C032D2" w:rsidRDefault="00A52FED" w:rsidP="00A52FED">
      <w:pPr>
        <w:pStyle w:val="Textoindependiente"/>
        <w:jc w:val="both"/>
        <w:rPr>
          <w:rFonts w:ascii="Arial" w:hAnsi="Arial" w:cs="Arial"/>
        </w:rPr>
      </w:pPr>
      <w:r w:rsidRPr="00C032D2">
        <w:rPr>
          <w:rFonts w:ascii="Arial" w:hAnsi="Arial" w:cs="Arial"/>
        </w:rPr>
        <w:t>a) Es una buena evidencia de una verdadera relación causal entre la exposición a agente particular y un efecto en la salud.</w:t>
      </w:r>
    </w:p>
    <w:p w:rsidR="00A52FED" w:rsidRPr="00C032D2" w:rsidRDefault="00A52FED" w:rsidP="00A52FED">
      <w:pPr>
        <w:pStyle w:val="Textoindependiente"/>
        <w:jc w:val="both"/>
        <w:rPr>
          <w:rFonts w:ascii="Arial" w:hAnsi="Arial" w:cs="Arial"/>
        </w:rPr>
      </w:pPr>
      <w:r w:rsidRPr="00C032D2">
        <w:rPr>
          <w:rFonts w:ascii="Arial" w:hAnsi="Arial" w:cs="Arial"/>
        </w:rPr>
        <w:t>b) Puede permitir demostrar que un factor de riesgo en particular se relacione a un efecto adverso a la salud, y determinar que en niveles de exposición a ese agente causal por debajo del valor que lo produce, es más improbable o incluso imposible que ocurra el efecto en la salud.</w:t>
      </w:r>
    </w:p>
    <w:p w:rsidR="00A52FED" w:rsidRPr="00C032D2" w:rsidRDefault="00A52FED" w:rsidP="00A52FED">
      <w:pPr>
        <w:pStyle w:val="Textoindependiente"/>
        <w:jc w:val="both"/>
        <w:rPr>
          <w:rFonts w:ascii="Arial" w:hAnsi="Arial" w:cs="Arial"/>
        </w:rPr>
      </w:pPr>
      <w:r w:rsidRPr="00C032D2">
        <w:rPr>
          <w:rFonts w:ascii="Arial" w:hAnsi="Arial" w:cs="Arial"/>
        </w:rPr>
        <w:t>c) La relación dosis efecto puede verse modificada o ausente por el efecto del umbral del compuesto o un efecto de saturación; o deberse completamente a una distorsión graduada o a un sesgo; lo cual puede dificultar la interpretación de este criterio.</w:t>
      </w:r>
    </w:p>
    <w:p w:rsidR="00A52FED" w:rsidRPr="00C032D2" w:rsidRDefault="00A52FED" w:rsidP="00A52FED">
      <w:pPr>
        <w:pStyle w:val="Textoindependiente"/>
        <w:jc w:val="both"/>
        <w:rPr>
          <w:rFonts w:ascii="Arial" w:hAnsi="Arial" w:cs="Arial"/>
        </w:rPr>
      </w:pPr>
      <w:r w:rsidRPr="00C032D2">
        <w:rPr>
          <w:rFonts w:ascii="Arial" w:hAnsi="Arial" w:cs="Arial"/>
        </w:rPr>
        <w:t xml:space="preserve"> • </w:t>
      </w:r>
      <w:r w:rsidRPr="00C032D2">
        <w:rPr>
          <w:rFonts w:ascii="Arial" w:hAnsi="Arial" w:cs="Arial"/>
          <w:b/>
          <w:bCs/>
        </w:rPr>
        <w:t>Plausibilidad biológica</w:t>
      </w:r>
      <w:r w:rsidRPr="00C032D2">
        <w:rPr>
          <w:rFonts w:ascii="Arial" w:hAnsi="Arial" w:cs="Arial"/>
        </w:rPr>
        <w:t xml:space="preserve">. El contexto biológico existente debe explicar lógicamente la </w:t>
      </w:r>
      <w:hyperlink r:id="rId10" w:anchor="Etiologia" w:tgtFrame="Ventana" w:history="1">
        <w:r w:rsidRPr="00C032D2">
          <w:rPr>
            <w:rStyle w:val="Hipervnculo"/>
            <w:rFonts w:ascii="Arial" w:hAnsi="Arial" w:cs="Arial"/>
            <w:color w:val="000000"/>
            <w:sz w:val="24"/>
            <w:szCs w:val="24"/>
          </w:rPr>
          <w:t>etiología</w:t>
        </w:r>
      </w:hyperlink>
      <w:r w:rsidRPr="00C032D2">
        <w:rPr>
          <w:rFonts w:ascii="Arial" w:hAnsi="Arial" w:cs="Arial"/>
        </w:rPr>
        <w:t xml:space="preserve"> por la cual una causa produce un efecto a la salud. Sin embargo, la plausibilidad biológica no puede extraerse de una hipótesis, ya que el estado actual del conocimiento puede ser inadecuado para explicar nuestras observaciones o no existir.</w:t>
      </w:r>
    </w:p>
    <w:p w:rsidR="00A52FED" w:rsidRPr="00C032D2" w:rsidRDefault="00A52FED" w:rsidP="00A52FED">
      <w:pPr>
        <w:pStyle w:val="Textoindependiente"/>
        <w:jc w:val="both"/>
        <w:rPr>
          <w:rFonts w:ascii="Arial" w:hAnsi="Arial" w:cs="Arial"/>
        </w:rPr>
      </w:pPr>
      <w:r w:rsidRPr="00C032D2">
        <w:rPr>
          <w:rFonts w:ascii="Arial" w:hAnsi="Arial" w:cs="Arial"/>
        </w:rPr>
        <w:t xml:space="preserve">• </w:t>
      </w:r>
      <w:r w:rsidRPr="00C032D2">
        <w:rPr>
          <w:rFonts w:ascii="Arial" w:hAnsi="Arial" w:cs="Arial"/>
          <w:b/>
          <w:bCs/>
        </w:rPr>
        <w:t>Coherencia</w:t>
      </w:r>
      <w:r w:rsidRPr="00C032D2">
        <w:rPr>
          <w:rFonts w:ascii="Arial" w:hAnsi="Arial" w:cs="Arial"/>
        </w:rPr>
        <w:t>. Implica el entendimiento entre los hallazgos de la asociación causal con los de la historia natural de la enfermedad y otros aspecto relacionados con la ocurrencia de la misma, como por ejemplo las tendencias seculares. Este criterio combina aspectos de consistencia y plausibilidad biológica.</w:t>
      </w:r>
    </w:p>
    <w:p w:rsidR="00A52FED" w:rsidRPr="00C032D2" w:rsidRDefault="00A52FED" w:rsidP="00A52FED">
      <w:pPr>
        <w:pStyle w:val="Textoindependiente"/>
        <w:jc w:val="both"/>
        <w:rPr>
          <w:rFonts w:ascii="Arial" w:hAnsi="Arial" w:cs="Arial"/>
        </w:rPr>
      </w:pPr>
      <w:r w:rsidRPr="00C032D2">
        <w:rPr>
          <w:rFonts w:ascii="Arial" w:hAnsi="Arial" w:cs="Arial"/>
        </w:rPr>
        <w:lastRenderedPageBreak/>
        <w:t xml:space="preserve">• </w:t>
      </w:r>
      <w:r w:rsidRPr="00C032D2">
        <w:rPr>
          <w:rFonts w:ascii="Arial" w:hAnsi="Arial" w:cs="Arial"/>
          <w:b/>
          <w:bCs/>
        </w:rPr>
        <w:t>Evidencia Experimental</w:t>
      </w:r>
      <w:r w:rsidRPr="00C032D2">
        <w:rPr>
          <w:rFonts w:ascii="Arial" w:hAnsi="Arial" w:cs="Arial"/>
        </w:rPr>
        <w:t>. Es un criterio deseable de alta validez, pero rara vez se encuentra disponible en poblaciones humanas.</w:t>
      </w:r>
    </w:p>
    <w:p w:rsidR="00A52FED" w:rsidRPr="00C032D2" w:rsidRDefault="00A52FED" w:rsidP="00A52FED">
      <w:pPr>
        <w:pStyle w:val="Textoindependiente"/>
        <w:jc w:val="both"/>
        <w:rPr>
          <w:rFonts w:ascii="Arial" w:hAnsi="Arial" w:cs="Arial"/>
        </w:rPr>
      </w:pPr>
      <w:r w:rsidRPr="00C032D2">
        <w:rPr>
          <w:rFonts w:ascii="Arial" w:hAnsi="Arial" w:cs="Arial"/>
        </w:rPr>
        <w:t xml:space="preserve">• </w:t>
      </w:r>
      <w:hyperlink r:id="rId11" w:anchor="Analogia" w:tgtFrame="Ventana" w:history="1">
        <w:r w:rsidRPr="00C032D2">
          <w:rPr>
            <w:rStyle w:val="Hipervnculo"/>
            <w:rFonts w:ascii="Arial" w:hAnsi="Arial" w:cs="Arial"/>
            <w:b/>
            <w:bCs/>
            <w:color w:val="000000"/>
            <w:sz w:val="24"/>
            <w:szCs w:val="24"/>
          </w:rPr>
          <w:t>Analogía</w:t>
        </w:r>
      </w:hyperlink>
      <w:r w:rsidRPr="00C032D2">
        <w:rPr>
          <w:rFonts w:ascii="Arial" w:hAnsi="Arial" w:cs="Arial"/>
        </w:rPr>
        <w:t>. Se fundamenta en relaciones de causa-efecto establecidas, con base a las cuales si un factor de riesgo produce un efecto a la salud, otro con características similares pudiera producir el mismo impacto a la salud.</w:t>
      </w:r>
    </w:p>
    <w:p w:rsidR="00A52FED" w:rsidRDefault="00A52FED" w:rsidP="00896C1D"/>
    <w:p w:rsidR="00896C1D" w:rsidRDefault="00896C1D" w:rsidP="00896C1D"/>
    <w:sectPr w:rsidR="00896C1D" w:rsidSect="000A0500">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EA" w:rsidRDefault="006772EA" w:rsidP="00C032D2">
      <w:pPr>
        <w:spacing w:after="0" w:line="240" w:lineRule="auto"/>
      </w:pPr>
      <w:r>
        <w:separator/>
      </w:r>
    </w:p>
  </w:endnote>
  <w:endnote w:type="continuationSeparator" w:id="1">
    <w:p w:rsidR="006772EA" w:rsidRDefault="006772EA" w:rsidP="00C03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EA" w:rsidRDefault="006772EA" w:rsidP="00C032D2">
      <w:pPr>
        <w:spacing w:after="0" w:line="240" w:lineRule="auto"/>
      </w:pPr>
      <w:r>
        <w:separator/>
      </w:r>
    </w:p>
  </w:footnote>
  <w:footnote w:type="continuationSeparator" w:id="1">
    <w:p w:rsidR="006772EA" w:rsidRDefault="006772EA" w:rsidP="00C03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27"/>
      <w:gridCol w:w="1027"/>
    </w:tblGrid>
    <w:tr w:rsidR="00C032D2" w:rsidTr="00C032D2">
      <w:tc>
        <w:tcPr>
          <w:tcW w:w="4433" w:type="pct"/>
          <w:tcBorders>
            <w:right w:val="single" w:sz="6" w:space="0" w:color="000000" w:themeColor="text1"/>
          </w:tcBorders>
        </w:tcPr>
        <w:sdt>
          <w:sdtPr>
            <w:alias w:val="Organización"/>
            <w:id w:val="78735422"/>
            <w:placeholder>
              <w:docPart w:val="F64CD5765A5C40C69E92147211883DCD"/>
            </w:placeholder>
            <w:dataBinding w:prefixMappings="xmlns:ns0='http://schemas.openxmlformats.org/officeDocument/2006/extended-properties'" w:xpath="/ns0:Properties[1]/ns0:Company[1]" w:storeItemID="{6668398D-A668-4E3E-A5EB-62B293D839F1}"/>
            <w:text/>
          </w:sdtPr>
          <w:sdtContent>
            <w:p w:rsidR="00C032D2" w:rsidRDefault="00C032D2">
              <w:pPr>
                <w:pStyle w:val="Encabezado"/>
                <w:jc w:val="right"/>
              </w:pPr>
              <w:r>
                <w:rPr>
                  <w:lang w:val="es-MX"/>
                </w:rPr>
                <w:t>UNIVERSIDAD GUADALAJARA LAMAR</w:t>
              </w:r>
            </w:p>
          </w:sdtContent>
        </w:sdt>
        <w:sdt>
          <w:sdtPr>
            <w:rPr>
              <w:b/>
              <w:bCs/>
            </w:rPr>
            <w:alias w:val="Título"/>
            <w:id w:val="78735415"/>
            <w:placeholder>
              <w:docPart w:val="0B303D202D96417EBB998E30B858AC50"/>
            </w:placeholder>
            <w:dataBinding w:prefixMappings="xmlns:ns0='http://schemas.openxmlformats.org/package/2006/metadata/core-properties' xmlns:ns1='http://purl.org/dc/elements/1.1/'" w:xpath="/ns0:coreProperties[1]/ns1:title[1]" w:storeItemID="{6C3C8BC8-F283-45AE-878A-BAB7291924A1}"/>
            <w:text/>
          </w:sdtPr>
          <w:sdtContent>
            <w:p w:rsidR="00C032D2" w:rsidRDefault="00C032D2" w:rsidP="00C032D2">
              <w:pPr>
                <w:pStyle w:val="Encabezado"/>
                <w:jc w:val="right"/>
                <w:rPr>
                  <w:b/>
                  <w:bCs/>
                </w:rPr>
              </w:pPr>
              <w:r>
                <w:rPr>
                  <w:b/>
                  <w:bCs/>
                </w:rPr>
                <w:t>MBE</w:t>
              </w:r>
            </w:p>
          </w:sdtContent>
        </w:sdt>
      </w:tc>
      <w:tc>
        <w:tcPr>
          <w:tcW w:w="567" w:type="pct"/>
          <w:tcBorders>
            <w:left w:val="single" w:sz="6" w:space="0" w:color="000000" w:themeColor="text1"/>
          </w:tcBorders>
        </w:tcPr>
        <w:p w:rsidR="00C032D2" w:rsidRDefault="00C032D2">
          <w:pPr>
            <w:pStyle w:val="Encabezado"/>
            <w:rPr>
              <w:b/>
            </w:rPr>
          </w:pPr>
          <w:fldSimple w:instr=" PAGE   \* MERGEFORMAT ">
            <w:r w:rsidR="00C35BDC">
              <w:rPr>
                <w:noProof/>
              </w:rPr>
              <w:t>1</w:t>
            </w:r>
          </w:fldSimple>
        </w:p>
      </w:tc>
    </w:tr>
  </w:tbl>
  <w:p w:rsidR="00C032D2" w:rsidRDefault="00C032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679E"/>
    <w:multiLevelType w:val="multilevel"/>
    <w:tmpl w:val="C2F8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4E750B"/>
    <w:rsid w:val="000A0500"/>
    <w:rsid w:val="00151DEE"/>
    <w:rsid w:val="004E750B"/>
    <w:rsid w:val="006772EA"/>
    <w:rsid w:val="00896C1D"/>
    <w:rsid w:val="00A52FED"/>
    <w:rsid w:val="00C032D2"/>
    <w:rsid w:val="00C35BD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750B"/>
    <w:rPr>
      <w:strike w:val="0"/>
      <w:dstrike w:val="0"/>
      <w:color w:val="FFFFFF"/>
      <w:sz w:val="20"/>
      <w:szCs w:val="20"/>
      <w:u w:val="none"/>
      <w:effect w:val="none"/>
    </w:rPr>
  </w:style>
  <w:style w:type="paragraph" w:styleId="NormalWeb">
    <w:name w:val="Normal (Web)"/>
    <w:basedOn w:val="Normal"/>
    <w:uiPriority w:val="99"/>
    <w:unhideWhenUsed/>
    <w:rsid w:val="004E75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oogqs-tidbit1">
    <w:name w:val="goog_qs-tidbit1"/>
    <w:basedOn w:val="Fuentedeprrafopredeter"/>
    <w:rsid w:val="004E750B"/>
    <w:rPr>
      <w:vanish w:val="0"/>
      <w:webHidden w:val="0"/>
      <w:specVanish w:val="0"/>
    </w:rPr>
  </w:style>
  <w:style w:type="paragraph" w:styleId="Textoindependiente">
    <w:name w:val="Body Text"/>
    <w:basedOn w:val="Normal"/>
    <w:link w:val="TextoindependienteCar"/>
    <w:uiPriority w:val="99"/>
    <w:semiHidden/>
    <w:unhideWhenUsed/>
    <w:rsid w:val="00A52FED"/>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TextoindependienteCar">
    <w:name w:val="Texto independiente Car"/>
    <w:basedOn w:val="Fuentedeprrafopredeter"/>
    <w:link w:val="Textoindependiente"/>
    <w:uiPriority w:val="99"/>
    <w:semiHidden/>
    <w:rsid w:val="00A52FED"/>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A52FED"/>
    <w:rPr>
      <w:b/>
      <w:bCs/>
    </w:rPr>
  </w:style>
  <w:style w:type="paragraph" w:styleId="Encabezado">
    <w:name w:val="header"/>
    <w:basedOn w:val="Normal"/>
    <w:link w:val="EncabezadoCar"/>
    <w:uiPriority w:val="99"/>
    <w:unhideWhenUsed/>
    <w:rsid w:val="00C03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32D2"/>
  </w:style>
  <w:style w:type="paragraph" w:styleId="Piedepgina">
    <w:name w:val="footer"/>
    <w:basedOn w:val="Normal"/>
    <w:link w:val="PiedepginaCar"/>
    <w:uiPriority w:val="99"/>
    <w:semiHidden/>
    <w:unhideWhenUsed/>
    <w:rsid w:val="00C03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032D2"/>
  </w:style>
  <w:style w:type="table" w:styleId="Tablaconcuadrcula">
    <w:name w:val="Table Grid"/>
    <w:basedOn w:val="Tablanormal"/>
    <w:uiPriority w:val="1"/>
    <w:rsid w:val="00C032D2"/>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3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025200">
      <w:bodyDiv w:val="1"/>
      <w:marLeft w:val="0"/>
      <w:marRight w:val="0"/>
      <w:marTop w:val="0"/>
      <w:marBottom w:val="0"/>
      <w:divBdr>
        <w:top w:val="none" w:sz="0" w:space="0" w:color="auto"/>
        <w:left w:val="none" w:sz="0" w:space="0" w:color="auto"/>
        <w:bottom w:val="none" w:sz="0" w:space="0" w:color="auto"/>
        <w:right w:val="none" w:sz="0" w:space="0" w:color="auto"/>
      </w:divBdr>
      <w:divsChild>
        <w:div w:id="212403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765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29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874972">
      <w:bodyDiv w:val="1"/>
      <w:marLeft w:val="0"/>
      <w:marRight w:val="0"/>
      <w:marTop w:val="0"/>
      <w:marBottom w:val="0"/>
      <w:divBdr>
        <w:top w:val="none" w:sz="0" w:space="0" w:color="auto"/>
        <w:left w:val="none" w:sz="0" w:space="0" w:color="auto"/>
        <w:bottom w:val="none" w:sz="0" w:space="0" w:color="auto"/>
        <w:right w:val="none" w:sz="0" w:space="0" w:color="auto"/>
      </w:divBdr>
    </w:div>
    <w:div w:id="1732265635">
      <w:bodyDiv w:val="1"/>
      <w:marLeft w:val="0"/>
      <w:marRight w:val="0"/>
      <w:marTop w:val="0"/>
      <w:marBottom w:val="0"/>
      <w:divBdr>
        <w:top w:val="none" w:sz="0" w:space="0" w:color="auto"/>
        <w:left w:val="none" w:sz="0" w:space="0" w:color="auto"/>
        <w:bottom w:val="none" w:sz="0" w:space="0" w:color="auto"/>
        <w:right w:val="none" w:sz="0" w:space="0" w:color="auto"/>
      </w:divBdr>
      <w:divsChild>
        <w:div w:id="56992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6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p.ucr.ac.cr/cursos/epidistancia/contenido/glosari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p.ucr.ac.cr/cursos/epidistancia/contenido/glosario.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p.ucr.ac.cr/cursos/epidistancia/contenido/glosari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cp.ucr.ac.cr/cursos/epidistancia/contenido/glosario.html" TargetMode="External"/><Relationship Id="rId4" Type="http://schemas.openxmlformats.org/officeDocument/2006/relationships/webSettings" Target="webSettings.xml"/><Relationship Id="rId9" Type="http://schemas.openxmlformats.org/officeDocument/2006/relationships/hyperlink" Target="http://ccp.ucr.ac.cr/cursos/epidistancia/contenido/glosario.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4CD5765A5C40C69E92147211883DCD"/>
        <w:category>
          <w:name w:val="General"/>
          <w:gallery w:val="placeholder"/>
        </w:category>
        <w:types>
          <w:type w:val="bbPlcHdr"/>
        </w:types>
        <w:behaviors>
          <w:behavior w:val="content"/>
        </w:behaviors>
        <w:guid w:val="{91C9E0A1-EEF0-4D05-A219-F6AAA55E5351}"/>
      </w:docPartPr>
      <w:docPartBody>
        <w:p w:rsidR="00000000" w:rsidRDefault="00AD5ADF" w:rsidP="00AD5ADF">
          <w:pPr>
            <w:pStyle w:val="F64CD5765A5C40C69E92147211883DCD"/>
          </w:pPr>
          <w:r>
            <w:rPr>
              <w:lang w:val="es-ES"/>
            </w:rPr>
            <w:t>[Escribir el nombre de la compañía]</w:t>
          </w:r>
        </w:p>
      </w:docPartBody>
    </w:docPart>
    <w:docPart>
      <w:docPartPr>
        <w:name w:val="0B303D202D96417EBB998E30B858AC50"/>
        <w:category>
          <w:name w:val="General"/>
          <w:gallery w:val="placeholder"/>
        </w:category>
        <w:types>
          <w:type w:val="bbPlcHdr"/>
        </w:types>
        <w:behaviors>
          <w:behavior w:val="content"/>
        </w:behaviors>
        <w:guid w:val="{B09FA76C-69B4-4282-BCD6-4D0F64F6ABF6}"/>
      </w:docPartPr>
      <w:docPartBody>
        <w:p w:rsidR="00000000" w:rsidRDefault="00AD5ADF" w:rsidP="00AD5ADF">
          <w:pPr>
            <w:pStyle w:val="0B303D202D96417EBB998E30B858AC50"/>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D5ADF"/>
    <w:rsid w:val="00AB3743"/>
    <w:rsid w:val="00AD5A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64CD5765A5C40C69E92147211883DCD">
    <w:name w:val="F64CD5765A5C40C69E92147211883DCD"/>
    <w:rsid w:val="00AD5ADF"/>
  </w:style>
  <w:style w:type="paragraph" w:customStyle="1" w:styleId="0B303D202D96417EBB998E30B858AC50">
    <w:name w:val="0B303D202D96417EBB998E30B858AC50"/>
    <w:rsid w:val="00AD5A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1365</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dc:title>
  <dc:creator>daniela</dc:creator>
  <cp:lastModifiedBy>daniela</cp:lastModifiedBy>
  <cp:revision>2</cp:revision>
  <dcterms:created xsi:type="dcterms:W3CDTF">2012-08-30T19:15:00Z</dcterms:created>
  <dcterms:modified xsi:type="dcterms:W3CDTF">2012-08-30T20:09:00Z</dcterms:modified>
</cp:coreProperties>
</file>