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7E" w:rsidRPr="002F0041" w:rsidRDefault="00F2787E" w:rsidP="00F2787E">
      <w:pPr>
        <w:rPr>
          <w:rFonts w:ascii="Century Gothic" w:hAnsi="Century Gothic"/>
          <w:b/>
          <w:sz w:val="24"/>
          <w:szCs w:val="24"/>
        </w:rPr>
      </w:pPr>
      <w:r w:rsidRPr="002F0041">
        <w:rPr>
          <w:rFonts w:ascii="Century Gothic" w:hAnsi="Century Gothic"/>
          <w:b/>
          <w:sz w:val="24"/>
          <w:szCs w:val="24"/>
        </w:rPr>
        <w:t>E l e m e n t o s    d e l   c ó d i g o   d e    é t i c a.</w:t>
      </w:r>
    </w:p>
    <w:p w:rsidR="00F2787E" w:rsidRDefault="00F2787E" w:rsidP="00F2787E">
      <w:pPr>
        <w:rPr>
          <w:rFonts w:ascii="Century Gothic" w:hAnsi="Century Gothic"/>
        </w:rPr>
      </w:pPr>
    </w:p>
    <w:p w:rsidR="00F2787E" w:rsidRPr="00F2787E" w:rsidRDefault="00F2787E" w:rsidP="00F2787E">
      <w:pPr>
        <w:rPr>
          <w:rFonts w:ascii="Century Gothic" w:hAnsi="Century Gothic"/>
        </w:rPr>
      </w:pPr>
      <w:r w:rsidRPr="00F2787E">
        <w:rPr>
          <w:rFonts w:ascii="Century Gothic" w:hAnsi="Century Gothic"/>
        </w:rPr>
        <w:t>Desarrollo y adopción de un Código Ético que recoja los valores o principios de actuación fundamentales que deben regir el comportamiento de los miembros de la profesión.</w:t>
      </w:r>
    </w:p>
    <w:p w:rsidR="00F2787E" w:rsidRPr="00F2787E" w:rsidRDefault="00F2787E" w:rsidP="00F2787E">
      <w:pPr>
        <w:rPr>
          <w:rFonts w:ascii="Century Gothic" w:hAnsi="Century Gothic"/>
        </w:rPr>
      </w:pPr>
      <w:r w:rsidRPr="00F2787E">
        <w:rPr>
          <w:rFonts w:ascii="Century Gothic" w:hAnsi="Century Gothic"/>
        </w:rPr>
        <w:t>Órgano responsable de la tutela del cumplimiento de los principios recogidos en el Código.</w:t>
      </w:r>
    </w:p>
    <w:p w:rsidR="00F2787E" w:rsidRPr="00F2787E" w:rsidRDefault="00F2787E" w:rsidP="00F2787E">
      <w:pPr>
        <w:rPr>
          <w:rFonts w:ascii="Century Gothic" w:hAnsi="Century Gothic"/>
        </w:rPr>
      </w:pPr>
      <w:r w:rsidRPr="00F2787E">
        <w:rPr>
          <w:rFonts w:ascii="Century Gothic" w:hAnsi="Century Gothic"/>
        </w:rPr>
        <w:t>Desarrollo y aplicación de un Régimen Sancionador aplicable en las situaciones de violación o incumplimiento de los Principios Éticos.</w:t>
      </w:r>
    </w:p>
    <w:p w:rsidR="00F2787E" w:rsidRPr="002F0041" w:rsidRDefault="00F2787E" w:rsidP="002F0041">
      <w:pPr>
        <w:rPr>
          <w:rFonts w:ascii="Century Gothic" w:hAnsi="Century Gothic"/>
        </w:rPr>
      </w:pPr>
      <w:r w:rsidRPr="00F2787E">
        <w:rPr>
          <w:rFonts w:ascii="Century Gothic" w:hAnsi="Century Gothic"/>
        </w:rPr>
        <w:t>Programas de formación y difusión del Código Ético como herramientas esenciales para el mantenimiento, tanto en el conjunto de profesionales como en la opinión pública, de los principios éticos.</w:t>
      </w:r>
      <w:bookmarkStart w:id="0" w:name="_GoBack"/>
      <w:bookmarkEnd w:id="0"/>
    </w:p>
    <w:p w:rsidR="00F2787E" w:rsidRPr="00F2787E" w:rsidRDefault="00F2787E" w:rsidP="00F2787E">
      <w:pPr>
        <w:jc w:val="both"/>
        <w:rPr>
          <w:rFonts w:ascii="Century Gothic" w:hAnsi="Century Gothic"/>
          <w:b/>
          <w:sz w:val="24"/>
        </w:rPr>
      </w:pPr>
      <w:r w:rsidRPr="00F2787E">
        <w:rPr>
          <w:rFonts w:ascii="Century Gothic" w:hAnsi="Century Gothic"/>
          <w:b/>
          <w:sz w:val="24"/>
        </w:rPr>
        <w:t>T e l e v i s a.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2. Responsabilidad Social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3. Políticas y Procedimientos Internos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4. Prácticas Comerciales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5. Transacciones con Valores de la Empresa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6. Conflicto de Intereses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7. Uso y Revelación de Información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8. Recursos Institucionales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9. Ambiente de Trabajo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 </w:t>
      </w:r>
    </w:p>
    <w:p w:rsidR="000962D1" w:rsidRDefault="00F2787E" w:rsidP="00F2787E">
      <w:pPr>
        <w:jc w:val="both"/>
        <w:rPr>
          <w:rFonts w:ascii="Century Gothic" w:hAnsi="Century Gothic"/>
          <w:sz w:val="24"/>
        </w:rPr>
      </w:pPr>
      <w:r w:rsidRPr="00F2787E">
        <w:rPr>
          <w:rFonts w:ascii="Century Gothic" w:hAnsi="Century Gothic"/>
          <w:sz w:val="24"/>
        </w:rPr>
        <w:t>10. Conducta Fuera de la Empresa</w:t>
      </w:r>
      <w:r>
        <w:rPr>
          <w:rFonts w:ascii="Century Gothic" w:hAnsi="Century Gothic"/>
          <w:sz w:val="24"/>
        </w:rPr>
        <w:t>.</w:t>
      </w:r>
      <w:r w:rsidRPr="00F2787E">
        <w:rPr>
          <w:rFonts w:ascii="Century Gothic" w:hAnsi="Century Gothic"/>
          <w:sz w:val="24"/>
        </w:rPr>
        <w:t xml:space="preserve">  </w:t>
      </w:r>
    </w:p>
    <w:p w:rsidR="00F2787E" w:rsidRPr="00F2787E" w:rsidRDefault="00F2787E" w:rsidP="00F2787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Aunque tienen diferentes puntos de vista, engloban casi las mismas situaciones, desde internas y externas; creo que aunque se estipule y se mantenga por escrito un código de ética, a veces lo que se hace ya en físico y más los medios de comunicación es lo contrario o se cometen muchas faltas (multas), en mi comparación la mayoría como lo mencione tienen la misma raíz, pero televisa en la contra parte, tiene programas que brincan el código de ética.</w:t>
      </w:r>
    </w:p>
    <w:sectPr w:rsidR="00F2787E" w:rsidRPr="00F27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87"/>
    <w:multiLevelType w:val="multilevel"/>
    <w:tmpl w:val="B49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38"/>
    <w:rsid w:val="000962D1"/>
    <w:rsid w:val="002F0041"/>
    <w:rsid w:val="006B5F38"/>
    <w:rsid w:val="00D0523B"/>
    <w:rsid w:val="00F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B5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5F3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B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B5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5F3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B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2014-07-21T22:58:00Z</dcterms:created>
  <dcterms:modified xsi:type="dcterms:W3CDTF">2014-07-22T00:06:00Z</dcterms:modified>
</cp:coreProperties>
</file>