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B" w:rsidRDefault="00910E8B" w:rsidP="00EA67EB">
      <w:pPr>
        <w:shd w:val="clear" w:color="auto" w:fill="FFFFFF"/>
        <w:spacing w:after="240" w:line="295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CANCER DE PROSTATA</w:t>
      </w:r>
      <w:r w:rsidR="00EA67EB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EN HOMBRES:</w:t>
      </w:r>
    </w:p>
    <w:p w:rsidR="00D05CE9" w:rsidRPr="0021568D" w:rsidRDefault="00910E8B" w:rsidP="00D05CE9">
      <w:pPr>
        <w:shd w:val="clear" w:color="auto" w:fill="FFFFFF"/>
        <w:spacing w:after="240" w:line="29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El cáncer de próstata (CP) constituye actualmente el cáncer más frecuente en los hombres adultos, y la segunda causa de muerte por cáncer entre los mismos.</w:t>
      </w:r>
      <w:r w:rsidRPr="002156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Existen multitud de estos estudios, que cifran la aparición de CP latente entre el 29 y 31 % de las necropsias en hombres. Entre 1 y 3% de esos CP latentes se cifran los pacientes a los que se llegará al diagnóstico por la sintomatología provocada por el tumor. Además, la incidencia del CP latente aumenta con la edad; en varones de 50 años, dicha tasa es del 15-30%, mientras que en varones mayores de 80 años aumenta al 60-70%.</w:t>
      </w:r>
      <w:r w:rsidR="00D05CE9"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En la próstata se encuentran varios tipos de células, pero cas</w:t>
      </w:r>
      <w:r w:rsidR="00D05CE9"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 todos los casos de cáncer de </w:t>
      </w:r>
      <w:r w:rsidR="00D05CE9"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próstata se desarrollan a partir de las células glandu</w:t>
      </w:r>
      <w:r w:rsidR="00D05CE9"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lares.    Las células glandulares </w:t>
      </w:r>
      <w:r w:rsidR="00D05CE9"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producen el líquido de la próstata que se agrega al se</w:t>
      </w:r>
      <w:r w:rsidR="00D05CE9"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men.</w:t>
      </w:r>
    </w:p>
    <w:p w:rsidR="0021568D" w:rsidRPr="0021568D" w:rsidRDefault="00D05CE9" w:rsidP="0021568D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El término médico para un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cáncer que comienza en las células glandulares es adenocarcinoma.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cr/>
        <w:t>Algunos médicos creen que el cáncer de prós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tata comienza con una afección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precancerosa, aunque esto aún no se conoce con certeza.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cr/>
        <w:t>El cáncer de próstata es el cáncer más común después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 cáncer de piel, entre los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hombres en los Estados Unidos. Para el año 2014, los cál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culos de la Sociedad Americana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Contra El Cáncer para este cán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cer en los Estados Unidos son: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>Se diagnosticarán alrededor de 233,000 nuevo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 casos de cáncer de próstata.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Alrededor de 29,480 hombres morirán de cáncer de próstata. </w:t>
      </w:r>
      <w:r w:rsidRPr="0021568D">
        <w:rPr>
          <w:rFonts w:ascii="Arial" w:hAnsi="Arial" w:cs="Arial"/>
          <w:color w:val="000000"/>
          <w:sz w:val="18"/>
          <w:szCs w:val="18"/>
          <w:shd w:val="clear" w:color="auto" w:fill="FFFFFF"/>
        </w:rPr>
        <w:cr/>
      </w:r>
      <w:r w:rsidR="0021568D" w:rsidRPr="0021568D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Más del 30% de las defunciones por cáncer podrían evitarse modificando o evitando los principales factores de riesgo, tales como:</w:t>
      </w:r>
    </w:p>
    <w:p w:rsidR="0021568D" w:rsidRPr="0021568D" w:rsidRDefault="0021568D" w:rsidP="0021568D">
      <w:pPr>
        <w:pStyle w:val="Sinespaciado"/>
        <w:rPr>
          <w:lang w:eastAsia="es-MX"/>
        </w:rPr>
      </w:pPr>
      <w:proofErr w:type="gramStart"/>
      <w:r w:rsidRPr="0021568D">
        <w:rPr>
          <w:lang w:eastAsia="es-MX"/>
        </w:rPr>
        <w:t>el</w:t>
      </w:r>
      <w:proofErr w:type="gramEnd"/>
      <w:r w:rsidRPr="0021568D">
        <w:rPr>
          <w:lang w:eastAsia="es-MX"/>
        </w:rPr>
        <w:t xml:space="preserve"> consumo de tabaco;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el exceso de peso o la obesidad;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las dietas malsanas con un consumo insuficiente de frutas y hortalizas;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la inactividad física;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el consumo de bebidas alcohólicas;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las infecciones por PVH y VHB;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la contaminación del aire de las ciudades;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el humo generado en la vivienda por la quema de combustibles sólidos.</w:t>
      </w:r>
    </w:p>
    <w:p w:rsidR="0021568D" w:rsidRPr="0021568D" w:rsidRDefault="0021568D" w:rsidP="0021568D">
      <w:pPr>
        <w:shd w:val="clear" w:color="auto" w:fill="FFFFFF"/>
        <w:spacing w:after="0" w:line="225" w:lineRule="atLeast"/>
        <w:ind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:rsidR="0021568D" w:rsidRPr="0021568D" w:rsidRDefault="0021568D" w:rsidP="0021568D">
      <w:pPr>
        <w:shd w:val="clear" w:color="auto" w:fill="FFFFFF"/>
        <w:spacing w:after="0" w:line="225" w:lineRule="atLeast"/>
        <w:ind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gramStart"/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Prevención :</w:t>
      </w:r>
      <w:proofErr w:type="gramEnd"/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intensificar la evitación de los factores de riesgo recién enumerados;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vacunar contra los PVH y el VHB;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controlar los riesgos ocupacionales;</w:t>
      </w:r>
    </w:p>
    <w:p w:rsidR="0021568D" w:rsidRPr="0021568D" w:rsidRDefault="0021568D" w:rsidP="0021568D">
      <w:pPr>
        <w:numPr>
          <w:ilvl w:val="0"/>
          <w:numId w:val="2"/>
        </w:numPr>
        <w:shd w:val="clear" w:color="auto" w:fill="FFFFFF"/>
        <w:spacing w:after="0" w:line="225" w:lineRule="atLeast"/>
        <w:ind w:right="30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21568D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reducir la exposición a la radiación solar.</w:t>
      </w:r>
    </w:p>
    <w:p w:rsidR="00910E8B" w:rsidRDefault="00910E8B" w:rsidP="00D05CE9">
      <w:pPr>
        <w:shd w:val="clear" w:color="auto" w:fill="FFFFFF"/>
        <w:spacing w:after="240" w:line="295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910E8B" w:rsidRDefault="00910E8B" w:rsidP="00EA67EB">
      <w:pPr>
        <w:shd w:val="clear" w:color="auto" w:fill="FFFFFF"/>
        <w:spacing w:after="240" w:line="295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910E8B" w:rsidRDefault="0021568D" w:rsidP="00EA67EB">
      <w:pPr>
        <w:shd w:val="clear" w:color="auto" w:fill="FFFFFF"/>
        <w:spacing w:after="240" w:line="295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BIBLIOGRAFIAS:</w:t>
      </w:r>
    </w:p>
    <w:p w:rsidR="00910E8B" w:rsidRPr="0021568D" w:rsidRDefault="0021568D" w:rsidP="00EA67EB">
      <w:pPr>
        <w:shd w:val="clear" w:color="auto" w:fill="FFFFFF"/>
        <w:spacing w:after="240" w:line="295" w:lineRule="atLeas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2156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http://www.who.int/mediacentre/factsheets/fs297/es</w:t>
      </w:r>
      <w:r w:rsidRPr="0021568D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/</w:t>
      </w:r>
    </w:p>
    <w:p w:rsidR="00910E8B" w:rsidRPr="0021568D" w:rsidRDefault="00D05CE9" w:rsidP="00EA67EB">
      <w:pPr>
        <w:shd w:val="clear" w:color="auto" w:fill="FFFFFF"/>
        <w:spacing w:after="240" w:line="29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  <w:hyperlink r:id="rId6" w:history="1">
        <w:r w:rsidRPr="0021568D">
          <w:rPr>
            <w:rStyle w:val="Hipervnculo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es-MX"/>
          </w:rPr>
          <w:t>http://www.saludhombre.es/contenidos.php?art=64&amp;trat=15</w:t>
        </w:r>
      </w:hyperlink>
    </w:p>
    <w:p w:rsidR="00D05CE9" w:rsidRPr="0021568D" w:rsidRDefault="00D05CE9" w:rsidP="00EA67EB">
      <w:pPr>
        <w:shd w:val="clear" w:color="auto" w:fill="FFFFFF"/>
        <w:spacing w:after="240" w:line="29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  <w:hyperlink r:id="rId7" w:history="1">
        <w:r w:rsidRPr="0021568D">
          <w:rPr>
            <w:rStyle w:val="Hipervnculo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es-MX"/>
          </w:rPr>
          <w:t>http://www.cancer.org/acs/groups/cid/documents/webcontent/002319-pdf.pdf</w:t>
        </w:r>
      </w:hyperlink>
    </w:p>
    <w:p w:rsidR="00D05CE9" w:rsidRDefault="00D05CE9" w:rsidP="00EA67EB">
      <w:pPr>
        <w:shd w:val="clear" w:color="auto" w:fill="FFFFFF"/>
        <w:spacing w:after="240" w:line="295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910E8B" w:rsidRDefault="00910E8B" w:rsidP="00EA67EB">
      <w:pPr>
        <w:shd w:val="clear" w:color="auto" w:fill="FFFFFF"/>
        <w:spacing w:after="240" w:line="29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</w:p>
    <w:p w:rsidR="00771CFD" w:rsidRDefault="00771CFD" w:rsidP="0021568D">
      <w:pPr>
        <w:shd w:val="clear" w:color="auto" w:fill="FFFFFF"/>
        <w:spacing w:after="240" w:line="295" w:lineRule="atLeast"/>
        <w:jc w:val="right"/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MX"/>
        </w:rPr>
        <w:lastRenderedPageBreak/>
        <w:drawing>
          <wp:inline distT="0" distB="0" distL="0" distR="0" wp14:anchorId="44AB1B1C" wp14:editId="733BD77D">
            <wp:extent cx="5286375" cy="18928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l_lamar_logo copia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179" b="69744" l="1026" r="989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4" r="1262" b="32323"/>
                    <a:stretch/>
                  </pic:blipFill>
                  <pic:spPr bwMode="auto">
                    <a:xfrm>
                      <a:off x="0" y="0"/>
                      <a:ext cx="5286375" cy="189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68D" w:rsidRPr="00771CFD" w:rsidRDefault="0021568D" w:rsidP="0021568D">
      <w:pPr>
        <w:shd w:val="clear" w:color="auto" w:fill="FFFFFF"/>
        <w:spacing w:after="240" w:line="295" w:lineRule="atLeast"/>
        <w:jc w:val="righ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</w:pPr>
      <w:r w:rsidRPr="00771CF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>13 de marzo de 2014</w:t>
      </w:r>
    </w:p>
    <w:p w:rsidR="0021568D" w:rsidRPr="00771CFD" w:rsidRDefault="0021568D" w:rsidP="0021568D">
      <w:pPr>
        <w:shd w:val="clear" w:color="auto" w:fill="FFFFFF"/>
        <w:spacing w:after="240" w:line="295" w:lineRule="atLeast"/>
        <w:jc w:val="righ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</w:pPr>
      <w:r w:rsidRPr="00771CF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>Guadalajara, Jalisco</w:t>
      </w:r>
    </w:p>
    <w:p w:rsidR="00771CFD" w:rsidRDefault="00771CFD" w:rsidP="0021568D">
      <w:pPr>
        <w:shd w:val="clear" w:color="auto" w:fill="FFFFFF"/>
        <w:spacing w:after="240" w:line="295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</w:p>
    <w:p w:rsidR="00771CFD" w:rsidRP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Copperplate Gothic Bold" w:eastAsia="Times New Roman" w:hAnsi="Copperplate Gothic Bold" w:cs="Arial"/>
          <w:b/>
          <w:color w:val="000000" w:themeColor="text1"/>
          <w:sz w:val="72"/>
          <w:szCs w:val="72"/>
          <w:lang w:eastAsia="es-MX"/>
        </w:rPr>
      </w:pPr>
      <w:r w:rsidRPr="00771CFD">
        <w:rPr>
          <w:rFonts w:ascii="Copperplate Gothic Bold" w:eastAsia="Times New Roman" w:hAnsi="Copperplate Gothic Bold" w:cs="Arial"/>
          <w:b/>
          <w:color w:val="000000" w:themeColor="text1"/>
          <w:sz w:val="72"/>
          <w:szCs w:val="72"/>
          <w:lang w:eastAsia="es-MX"/>
        </w:rPr>
        <w:t>EPIDEMIOLOGIA</w:t>
      </w:r>
    </w:p>
    <w:p w:rsid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b/>
          <w:color w:val="000000" w:themeColor="text1"/>
          <w:sz w:val="96"/>
          <w:szCs w:val="96"/>
          <w:lang w:eastAsia="es-MX"/>
        </w:rPr>
      </w:pPr>
    </w:p>
    <w:p w:rsidR="00771CFD" w:rsidRP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56"/>
          <w:szCs w:val="56"/>
          <w:u w:val="single"/>
          <w:lang w:eastAsia="es-MX"/>
        </w:rPr>
      </w:pPr>
      <w:r w:rsidRPr="00771CFD">
        <w:rPr>
          <w:rFonts w:ascii="Arial" w:eastAsia="Times New Roman" w:hAnsi="Arial" w:cs="Arial"/>
          <w:b/>
          <w:i/>
          <w:color w:val="000000" w:themeColor="text1"/>
          <w:sz w:val="56"/>
          <w:szCs w:val="56"/>
          <w:u w:val="single"/>
          <w:lang w:eastAsia="es-MX"/>
        </w:rPr>
        <w:t>CANCER DE PROSTATA EN HOMBRES</w:t>
      </w:r>
    </w:p>
    <w:p w:rsid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 w:themeColor="text1"/>
          <w:sz w:val="52"/>
          <w:szCs w:val="52"/>
          <w:lang w:eastAsia="es-MX"/>
        </w:rPr>
      </w:pPr>
      <w:bookmarkStart w:id="0" w:name="_GoBack"/>
      <w:bookmarkEnd w:id="0"/>
    </w:p>
    <w:p w:rsidR="00771CFD" w:rsidRP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 w:themeColor="text1"/>
          <w:sz w:val="52"/>
          <w:szCs w:val="52"/>
          <w:lang w:eastAsia="es-MX"/>
        </w:rPr>
      </w:pPr>
      <w:r w:rsidRPr="00771CFD">
        <w:rPr>
          <w:rFonts w:ascii="Arial" w:eastAsia="Times New Roman" w:hAnsi="Arial" w:cs="Arial"/>
          <w:color w:val="000000" w:themeColor="text1"/>
          <w:sz w:val="52"/>
          <w:szCs w:val="52"/>
          <w:lang w:eastAsia="es-MX"/>
        </w:rPr>
        <w:t>LME4418</w:t>
      </w:r>
    </w:p>
    <w:p w:rsidR="00771CFD" w:rsidRP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i/>
          <w:color w:val="000000" w:themeColor="text1"/>
          <w:sz w:val="52"/>
          <w:szCs w:val="52"/>
          <w:lang w:eastAsia="es-MX"/>
        </w:rPr>
      </w:pPr>
      <w:r w:rsidRPr="00771CFD">
        <w:rPr>
          <w:rFonts w:ascii="Arial" w:eastAsia="Times New Roman" w:hAnsi="Arial" w:cs="Arial"/>
          <w:i/>
          <w:color w:val="000000" w:themeColor="text1"/>
          <w:sz w:val="52"/>
          <w:szCs w:val="52"/>
          <w:lang w:eastAsia="es-MX"/>
        </w:rPr>
        <w:t>LUIS ENRIQUE MARTINEZ CERRO</w:t>
      </w:r>
    </w:p>
    <w:p w:rsidR="0021568D" w:rsidRP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es-MX"/>
        </w:rPr>
      </w:pPr>
      <w:r w:rsidRPr="00771CFD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es-MX"/>
        </w:rPr>
        <w:t>2-B</w:t>
      </w:r>
    </w:p>
    <w:p w:rsidR="0021568D" w:rsidRPr="00771CFD" w:rsidRDefault="00771CFD" w:rsidP="00771CFD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es-MX"/>
        </w:rPr>
      </w:pPr>
      <w:r w:rsidRPr="00771CFD">
        <w:rPr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MAESTRO DR. JOSÈ ANTONIO AVILA HERMOSILLO</w:t>
      </w:r>
      <w:r w:rsidRPr="00771CFD">
        <w:rPr>
          <w:rStyle w:val="apple-converted-space"/>
          <w:rFonts w:ascii="Arial" w:hAnsi="Arial" w:cs="Arial"/>
          <w:b/>
          <w:i/>
          <w:color w:val="000000" w:themeColor="text1"/>
          <w:sz w:val="32"/>
          <w:szCs w:val="32"/>
          <w:shd w:val="clear" w:color="auto" w:fill="FFFFFF"/>
        </w:rPr>
        <w:t> </w:t>
      </w:r>
    </w:p>
    <w:p w:rsidR="002748F8" w:rsidRDefault="002748F8"/>
    <w:sectPr w:rsidR="00274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524"/>
    <w:multiLevelType w:val="multilevel"/>
    <w:tmpl w:val="0C9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D415A"/>
    <w:multiLevelType w:val="multilevel"/>
    <w:tmpl w:val="ADC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C01BAB"/>
    <w:multiLevelType w:val="multilevel"/>
    <w:tmpl w:val="442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21568D"/>
    <w:rsid w:val="002748F8"/>
    <w:rsid w:val="00771CFD"/>
    <w:rsid w:val="008A1102"/>
    <w:rsid w:val="00910E8B"/>
    <w:rsid w:val="00D05CE9"/>
    <w:rsid w:val="00E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A67EB"/>
  </w:style>
  <w:style w:type="character" w:styleId="Hipervnculo">
    <w:name w:val="Hyperlink"/>
    <w:basedOn w:val="Fuentedeprrafopredeter"/>
    <w:uiPriority w:val="99"/>
    <w:unhideWhenUsed/>
    <w:rsid w:val="00EA67EB"/>
    <w:rPr>
      <w:color w:val="0000FF"/>
      <w:u w:val="single"/>
    </w:rPr>
  </w:style>
  <w:style w:type="paragraph" w:styleId="Sinespaciado">
    <w:name w:val="No Spacing"/>
    <w:uiPriority w:val="1"/>
    <w:qFormat/>
    <w:rsid w:val="00215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A67EB"/>
  </w:style>
  <w:style w:type="character" w:styleId="Hipervnculo">
    <w:name w:val="Hyperlink"/>
    <w:basedOn w:val="Fuentedeprrafopredeter"/>
    <w:uiPriority w:val="99"/>
    <w:unhideWhenUsed/>
    <w:rsid w:val="00EA67EB"/>
    <w:rPr>
      <w:color w:val="0000FF"/>
      <w:u w:val="single"/>
    </w:rPr>
  </w:style>
  <w:style w:type="paragraph" w:styleId="Sinespaciado">
    <w:name w:val="No Spacing"/>
    <w:uiPriority w:val="1"/>
    <w:qFormat/>
    <w:rsid w:val="00215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ancer.org/acs/groups/cid/documents/webcontent/002319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dhombre.es/contenidos.php?art=64&amp;trat=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Kike</cp:lastModifiedBy>
  <cp:revision>1</cp:revision>
  <dcterms:created xsi:type="dcterms:W3CDTF">2014-03-14T02:47:00Z</dcterms:created>
  <dcterms:modified xsi:type="dcterms:W3CDTF">2014-03-14T03:45:00Z</dcterms:modified>
</cp:coreProperties>
</file>