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C" w:rsidRPr="0059734A" w:rsidRDefault="0059734A" w:rsidP="0059734A">
      <w:pPr>
        <w:jc w:val="center"/>
        <w:rPr>
          <w:rFonts w:ascii="Century Gothic" w:hAnsi="Century Gothic" w:cs="Arial"/>
          <w:color w:val="385623" w:themeColor="accent6" w:themeShade="80"/>
          <w:sz w:val="40"/>
          <w:szCs w:val="40"/>
        </w:rPr>
      </w:pPr>
      <w:r w:rsidRPr="0059734A">
        <w:rPr>
          <w:rFonts w:ascii="Century Gothic" w:hAnsi="Century Gothic" w:cs="Arial"/>
          <w:color w:val="385623" w:themeColor="accent6" w:themeShade="80"/>
          <w:sz w:val="40"/>
          <w:szCs w:val="40"/>
        </w:rPr>
        <w:t>Actividad 3-Biologia</w:t>
      </w:r>
    </w:p>
    <w:tbl>
      <w:tblPr>
        <w:tblStyle w:val="Sombreadoclaro-nfasis4"/>
        <w:tblpPr w:leftFromText="141" w:rightFromText="141" w:vertAnchor="page" w:horzAnchor="margin" w:tblpY="2279"/>
        <w:tblW w:w="0" w:type="auto"/>
        <w:tblLook w:val="04A0"/>
      </w:tblPr>
      <w:tblGrid>
        <w:gridCol w:w="2547"/>
        <w:gridCol w:w="3969"/>
        <w:gridCol w:w="3554"/>
      </w:tblGrid>
      <w:tr w:rsidR="00F04CFE" w:rsidRPr="00E265B0" w:rsidTr="0059734A">
        <w:trPr>
          <w:cnfStyle w:val="100000000000"/>
        </w:trPr>
        <w:tc>
          <w:tcPr>
            <w:cnfStyle w:val="001000000000"/>
            <w:tcW w:w="2547" w:type="dxa"/>
          </w:tcPr>
          <w:p w:rsidR="00F04CFE" w:rsidRPr="0059734A" w:rsidRDefault="0059734A" w:rsidP="0059734A">
            <w:pPr>
              <w:jc w:val="center"/>
              <w:rPr>
                <w:rFonts w:ascii="Courier New" w:hAnsi="Courier New" w:cs="Courier New"/>
                <w:b w:val="0"/>
                <w:color w:val="1F4E79" w:themeColor="accent1" w:themeShade="80"/>
                <w:sz w:val="28"/>
                <w:szCs w:val="28"/>
              </w:rPr>
            </w:pPr>
            <w:r>
              <w:rPr>
                <w:rFonts w:ascii="Courier New" w:hAnsi="Courier New" w:cs="Courier New"/>
                <w:b w:val="0"/>
                <w:noProof/>
                <w:color w:val="1F4E79" w:themeColor="accent1" w:themeShade="80"/>
                <w:sz w:val="28"/>
                <w:szCs w:val="28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3.7pt;margin-top:0;width:3.65pt;height:588.75pt;z-index:251659264" o:connectortype="straight" strokecolor="#ffd966 [1943]" strokeweight="3pt">
                  <v:shadow type="perspective" color="#7f5f00 [1607]" opacity=".5" offset="1pt" offset2="-1pt"/>
                </v:shape>
              </w:pict>
            </w:r>
            <w:r w:rsidR="00F04CFE" w:rsidRPr="0059734A">
              <w:rPr>
                <w:rFonts w:ascii="Courier New" w:hAnsi="Courier New" w:cs="Courier New"/>
                <w:b w:val="0"/>
                <w:color w:val="1F4E79" w:themeColor="accent1" w:themeShade="80"/>
                <w:sz w:val="28"/>
                <w:szCs w:val="28"/>
              </w:rPr>
              <w:t>CONCEPTOS</w:t>
            </w:r>
          </w:p>
        </w:tc>
        <w:tc>
          <w:tcPr>
            <w:tcW w:w="3969" w:type="dxa"/>
          </w:tcPr>
          <w:p w:rsidR="00F04CFE" w:rsidRPr="0059734A" w:rsidRDefault="00F04CFE" w:rsidP="0059734A">
            <w:pPr>
              <w:jc w:val="center"/>
              <w:cnfStyle w:val="100000000000"/>
              <w:rPr>
                <w:rFonts w:ascii="Courier New" w:hAnsi="Courier New" w:cs="Courier New"/>
                <w:b w:val="0"/>
                <w:color w:val="1F4E79" w:themeColor="accent1" w:themeShade="80"/>
                <w:sz w:val="28"/>
                <w:szCs w:val="28"/>
              </w:rPr>
            </w:pPr>
            <w:r w:rsidRPr="0059734A">
              <w:rPr>
                <w:rFonts w:ascii="Courier New" w:hAnsi="Courier New" w:cs="Courier New"/>
                <w:b w:val="0"/>
                <w:color w:val="1F4E79" w:themeColor="accent1" w:themeShade="80"/>
                <w:sz w:val="28"/>
                <w:szCs w:val="28"/>
              </w:rPr>
              <w:t>EXPLICACIÓN</w:t>
            </w:r>
          </w:p>
        </w:tc>
        <w:tc>
          <w:tcPr>
            <w:tcW w:w="3554" w:type="dxa"/>
          </w:tcPr>
          <w:p w:rsidR="00F04CFE" w:rsidRPr="0059734A" w:rsidRDefault="0059734A" w:rsidP="0059734A">
            <w:pPr>
              <w:jc w:val="center"/>
              <w:cnfStyle w:val="100000000000"/>
              <w:rPr>
                <w:rFonts w:ascii="Courier New" w:hAnsi="Courier New" w:cs="Courier New"/>
                <w:b w:val="0"/>
                <w:color w:val="1F4E79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_x0000_s1027" type="#_x0000_t32" style="position:absolute;left:0;text-align:left;margin-left:-2.5pt;margin-top:.1pt;width:3.65pt;height:588.75pt;z-index:251660288;mso-position-horizontal-relative:text;mso-position-vertical-relative:text" o:connectortype="straight" strokecolor="#ffd966 [1943]" strokeweight="3pt">
                  <v:shadow type="perspective" color="#7f5f00 [1607]" opacity=".5" offset="1pt" offset2="-1pt"/>
                </v:shape>
              </w:pict>
            </w:r>
            <w:r w:rsidR="00F04CFE" w:rsidRPr="0059734A">
              <w:rPr>
                <w:rFonts w:ascii="Courier New" w:hAnsi="Courier New" w:cs="Courier New"/>
                <w:b w:val="0"/>
                <w:color w:val="1F4E79" w:themeColor="accent1" w:themeShade="80"/>
                <w:sz w:val="28"/>
                <w:szCs w:val="28"/>
              </w:rPr>
              <w:t>EJEMPLO</w:t>
            </w:r>
          </w:p>
        </w:tc>
      </w:tr>
      <w:tr w:rsidR="00F04CFE" w:rsidRPr="00E265B0" w:rsidTr="0059734A">
        <w:trPr>
          <w:cnfStyle w:val="000000100000"/>
          <w:trHeight w:val="2065"/>
        </w:trPr>
        <w:tc>
          <w:tcPr>
            <w:cnfStyle w:val="001000000000"/>
            <w:tcW w:w="2547" w:type="dxa"/>
          </w:tcPr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F04CFE" w:rsidRPr="0059734A" w:rsidRDefault="00F04CFE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  <w:r w:rsidRPr="0059734A"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  <w:t>Influencia del ambiente</w:t>
            </w:r>
          </w:p>
        </w:tc>
        <w:tc>
          <w:tcPr>
            <w:tcW w:w="3969" w:type="dxa"/>
          </w:tcPr>
          <w:p w:rsidR="0059734A" w:rsidRDefault="0059734A" w:rsidP="0059734A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F04CFE" w:rsidRPr="00E265B0" w:rsidRDefault="00F04CFE" w:rsidP="0059734A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9719D">
              <w:rPr>
                <w:rFonts w:ascii="Arial" w:hAnsi="Arial" w:cs="Arial"/>
                <w:sz w:val="24"/>
                <w:szCs w:val="24"/>
              </w:rPr>
              <w:t xml:space="preserve">En un ambiente estable no se daría la selección natural, no habría evolución, porque las especies no se verían afectadas </w:t>
            </w:r>
            <w:bookmarkStart w:id="0" w:name="_GoBack"/>
            <w:r w:rsidRPr="0089719D">
              <w:rPr>
                <w:rFonts w:ascii="Arial" w:hAnsi="Arial" w:cs="Arial"/>
                <w:sz w:val="24"/>
                <w:szCs w:val="24"/>
              </w:rPr>
              <w:t>s</w:t>
            </w:r>
            <w:bookmarkEnd w:id="0"/>
            <w:r w:rsidRPr="0089719D">
              <w:rPr>
                <w:rFonts w:ascii="Arial" w:hAnsi="Arial" w:cs="Arial"/>
                <w:sz w:val="24"/>
                <w:szCs w:val="24"/>
              </w:rPr>
              <w:t>eleccionen otros genes distintos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F04CFE" w:rsidRDefault="00F04CFE" w:rsidP="00F04CFE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-68572</wp:posOffset>
                  </wp:positionH>
                  <wp:positionV relativeFrom="paragraph">
                    <wp:posOffset>3054</wp:posOffset>
                  </wp:positionV>
                  <wp:extent cx="2048510" cy="1167765"/>
                  <wp:effectExtent l="19050" t="0" r="889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1167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04CFE" w:rsidRDefault="00F04CFE" w:rsidP="00F04C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F04CFE" w:rsidRDefault="00F04CFE" w:rsidP="00F04C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F04CFE" w:rsidRDefault="00F04CFE" w:rsidP="00F04C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F04CFE" w:rsidRPr="00F04CFE" w:rsidRDefault="00F04CFE" w:rsidP="00F04CF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FE" w:rsidRPr="00E265B0" w:rsidTr="0059734A">
        <w:tc>
          <w:tcPr>
            <w:cnfStyle w:val="001000000000"/>
            <w:tcW w:w="2547" w:type="dxa"/>
          </w:tcPr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F04CFE" w:rsidRPr="0059734A" w:rsidRDefault="00F04CFE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  <w:r w:rsidRPr="0059734A"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  <w:t>Mutaciones</w:t>
            </w:r>
          </w:p>
        </w:tc>
        <w:tc>
          <w:tcPr>
            <w:tcW w:w="3969" w:type="dxa"/>
          </w:tcPr>
          <w:p w:rsidR="0059734A" w:rsidRDefault="0059734A" w:rsidP="0059734A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F04CFE" w:rsidRPr="009B3DC5" w:rsidRDefault="00F04CFE" w:rsidP="0059734A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mutación </w:t>
            </w:r>
            <w:r w:rsidRPr="009B3DC5">
              <w:rPr>
                <w:rFonts w:ascii="Arial" w:hAnsi="Arial" w:cs="Arial"/>
                <w:sz w:val="24"/>
                <w:szCs w:val="24"/>
              </w:rPr>
              <w:t>es un cambio estable y heredable en el material genético.</w:t>
            </w:r>
          </w:p>
          <w:p w:rsidR="00F04CFE" w:rsidRDefault="0059734A" w:rsidP="0059734A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04CFE" w:rsidRPr="009B3DC5">
              <w:rPr>
                <w:rFonts w:ascii="Arial" w:hAnsi="Arial" w:cs="Arial"/>
                <w:sz w:val="24"/>
                <w:szCs w:val="24"/>
              </w:rPr>
              <w:t>o tienen ninguna dirección respecto a la adaptación</w:t>
            </w:r>
            <w:r w:rsidR="00F04C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4CFE" w:rsidRPr="00E265B0" w:rsidRDefault="00F04CFE" w:rsidP="00F04CFE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F04CFE" w:rsidRPr="00E265B0" w:rsidRDefault="00F04CFE" w:rsidP="00F04CFE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083443" cy="1146146"/>
                  <wp:effectExtent l="19050" t="0" r="0" b="0"/>
                  <wp:docPr id="2" name="Imagen 1" descr="Resultado de imagen para variacion genetica por mut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variacion genetica por mut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741" cy="1152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FE" w:rsidRPr="00E265B0" w:rsidTr="0059734A">
        <w:trPr>
          <w:cnfStyle w:val="000000100000"/>
        </w:trPr>
        <w:tc>
          <w:tcPr>
            <w:cnfStyle w:val="001000000000"/>
            <w:tcW w:w="2547" w:type="dxa"/>
          </w:tcPr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F04CFE" w:rsidRPr="0059734A" w:rsidRDefault="00F04CFE" w:rsidP="0059734A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  <w:r w:rsidRPr="0059734A"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  <w:t>Recombinaciones génicas</w:t>
            </w:r>
          </w:p>
        </w:tc>
        <w:tc>
          <w:tcPr>
            <w:tcW w:w="3969" w:type="dxa"/>
          </w:tcPr>
          <w:p w:rsidR="0059734A" w:rsidRDefault="0059734A" w:rsidP="0059734A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F04CFE" w:rsidRDefault="00F04CFE" w:rsidP="0059734A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9719D">
              <w:rPr>
                <w:rFonts w:ascii="Arial" w:hAnsi="Arial" w:cs="Arial"/>
                <w:sz w:val="24"/>
                <w:szCs w:val="24"/>
              </w:rPr>
              <w:t>Cuando los individuos seleccionan sus parejas con base en el fenotipo (con lo cual seleccionan el genotipo correspondiente), pueden generar un cambio evolutivo en su población.</w:t>
            </w:r>
          </w:p>
          <w:p w:rsidR="0059734A" w:rsidRPr="00E265B0" w:rsidRDefault="0059734A" w:rsidP="0059734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F04CFE" w:rsidRPr="00E265B0" w:rsidRDefault="00F04CFE" w:rsidP="00F04CFE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817226" cy="1349501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56" cy="1352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FE" w:rsidRPr="00E265B0" w:rsidTr="0059734A">
        <w:tc>
          <w:tcPr>
            <w:cnfStyle w:val="001000000000"/>
            <w:tcW w:w="2547" w:type="dxa"/>
          </w:tcPr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F04CFE" w:rsidRPr="0059734A" w:rsidRDefault="00F04CFE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  <w:r w:rsidRPr="0059734A"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  <w:t>Deriva Génica</w:t>
            </w:r>
          </w:p>
        </w:tc>
        <w:tc>
          <w:tcPr>
            <w:tcW w:w="3969" w:type="dxa"/>
          </w:tcPr>
          <w:p w:rsidR="0059734A" w:rsidRDefault="0059734A" w:rsidP="0059734A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F04CFE" w:rsidRDefault="00F04CFE" w:rsidP="0059734A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9719D">
              <w:rPr>
                <w:rFonts w:ascii="Arial" w:hAnsi="Arial" w:cs="Arial"/>
                <w:sz w:val="24"/>
                <w:szCs w:val="24"/>
              </w:rPr>
              <w:t>Algunos individuos de cada generación pueden, simplemente por casualidad, dejar unos pocos descendientes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9719D">
              <w:rPr>
                <w:rFonts w:ascii="Arial" w:hAnsi="Arial" w:cs="Arial"/>
                <w:sz w:val="24"/>
                <w:szCs w:val="24"/>
              </w:rPr>
              <w:t>Los genes de la siguiente generación serán genes de los individuos “afortunados”, no necesariamente los más sanos ni los “mejores”.</w:t>
            </w:r>
          </w:p>
          <w:p w:rsidR="00F04CFE" w:rsidRPr="00E265B0" w:rsidRDefault="00F04CFE" w:rsidP="0059734A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F04CFE" w:rsidRPr="00E265B0" w:rsidRDefault="00F04CFE" w:rsidP="00F04CFE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770926" cy="1550335"/>
                  <wp:effectExtent l="19050" t="0" r="724" b="0"/>
                  <wp:docPr id="6" name="Imagen 6" descr="https://sites.google.com/site/evolucionuan/_/rsrc/1472873042781/tema-ii/arturo%20011.jpg?height=350&amp;width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evolucionuan/_/rsrc/1472873042781/tema-ii/arturo%20011.jpg?height=350&amp;width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86" cy="155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FE" w:rsidRPr="00E265B0" w:rsidTr="0059734A">
        <w:trPr>
          <w:cnfStyle w:val="000000100000"/>
        </w:trPr>
        <w:tc>
          <w:tcPr>
            <w:cnfStyle w:val="001000000000"/>
            <w:tcW w:w="2547" w:type="dxa"/>
          </w:tcPr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59734A" w:rsidRDefault="0059734A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</w:p>
          <w:p w:rsidR="00F04CFE" w:rsidRPr="0059734A" w:rsidRDefault="00F04CFE" w:rsidP="00F04CF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</w:pPr>
            <w:r w:rsidRPr="0059734A"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</w:rPr>
              <w:t>Flujo Genético</w:t>
            </w:r>
          </w:p>
        </w:tc>
        <w:tc>
          <w:tcPr>
            <w:tcW w:w="3969" w:type="dxa"/>
          </w:tcPr>
          <w:p w:rsidR="0059734A" w:rsidRDefault="0059734A" w:rsidP="0059734A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F04CFE" w:rsidRDefault="00F04CFE" w:rsidP="0059734A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9719D">
              <w:rPr>
                <w:rFonts w:ascii="Arial" w:hAnsi="Arial" w:cs="Arial"/>
                <w:sz w:val="24"/>
                <w:szCs w:val="24"/>
              </w:rPr>
              <w:t>ntercambio de genes entre subpoblaciones de una especie, normalmente relacionad</w:t>
            </w:r>
            <w:r>
              <w:rPr>
                <w:rFonts w:ascii="Arial" w:hAnsi="Arial" w:cs="Arial"/>
                <w:sz w:val="24"/>
                <w:szCs w:val="24"/>
              </w:rPr>
              <w:t xml:space="preserve">as, a través de un cruzamiento. </w:t>
            </w:r>
            <w:r w:rsidRPr="0089719D">
              <w:rPr>
                <w:rFonts w:ascii="Arial" w:hAnsi="Arial" w:cs="Arial"/>
                <w:sz w:val="24"/>
                <w:szCs w:val="24"/>
              </w:rPr>
              <w:t>En el caso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s plantas los genes circulan </w:t>
            </w:r>
            <w:r w:rsidRPr="0089719D">
              <w:rPr>
                <w:rFonts w:ascii="Arial" w:hAnsi="Arial" w:cs="Arial"/>
                <w:sz w:val="24"/>
                <w:szCs w:val="24"/>
              </w:rPr>
              <w:t>de una planta a otra a través de transferencias de polen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4CFE" w:rsidRPr="00E265B0" w:rsidRDefault="00F04CFE" w:rsidP="0059734A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F04CFE" w:rsidRPr="00E265B0" w:rsidRDefault="00F04CFE" w:rsidP="00F04CFE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00537" cy="1143942"/>
                  <wp:effectExtent l="19050" t="0" r="0" b="0"/>
                  <wp:docPr id="5" name="Imagen 5" descr="Resultado de imagen para intercambio de polen en f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ntercambio de polen en f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537" cy="1145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5B0" w:rsidRPr="00E265B0" w:rsidRDefault="00E265B0" w:rsidP="0059734A">
      <w:pPr>
        <w:rPr>
          <w:rFonts w:ascii="Arial" w:hAnsi="Arial" w:cs="Arial"/>
          <w:b/>
          <w:color w:val="7030A0"/>
          <w:sz w:val="28"/>
          <w:szCs w:val="28"/>
        </w:rPr>
      </w:pPr>
    </w:p>
    <w:sectPr w:rsidR="00E265B0" w:rsidRPr="00E265B0" w:rsidSect="00E265B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265B0"/>
    <w:rsid w:val="0059734A"/>
    <w:rsid w:val="005A7B89"/>
    <w:rsid w:val="0089719D"/>
    <w:rsid w:val="009B3DC5"/>
    <w:rsid w:val="00D4689C"/>
    <w:rsid w:val="00E265B0"/>
    <w:rsid w:val="00F0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3]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65B0"/>
  </w:style>
  <w:style w:type="paragraph" w:styleId="Textodeglobo">
    <w:name w:val="Balloon Text"/>
    <w:basedOn w:val="Normal"/>
    <w:link w:val="TextodegloboCar"/>
    <w:uiPriority w:val="99"/>
    <w:semiHidden/>
    <w:unhideWhenUsed/>
    <w:rsid w:val="0059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4A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5973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59734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DERIER CURIEL GARCIA</dc:creator>
  <cp:lastModifiedBy>Fernanda</cp:lastModifiedBy>
  <cp:revision>2</cp:revision>
  <dcterms:created xsi:type="dcterms:W3CDTF">2016-09-19T02:36:00Z</dcterms:created>
  <dcterms:modified xsi:type="dcterms:W3CDTF">2016-09-19T02:36:00Z</dcterms:modified>
</cp:coreProperties>
</file>