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AF" w:rsidRPr="00D015AF" w:rsidRDefault="00D015AF" w:rsidP="00D015AF">
      <w:pPr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Luis Enrique Verdugo </w:t>
      </w:r>
      <w:proofErr w:type="spellStart"/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Gonzalez</w:t>
      </w:r>
      <w:proofErr w:type="spellEnd"/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 4°A</w:t>
      </w:r>
    </w:p>
    <w:p w:rsidR="00D015AF" w:rsidRPr="00D015AF" w:rsidRDefault="00D015AF" w:rsidP="00D015AF">
      <w:pPr>
        <w:jc w:val="both"/>
        <w:rPr>
          <w:rFonts w:ascii="Arial" w:hAnsi="Arial" w:cs="Arial"/>
          <w:b/>
          <w:color w:val="76923C" w:themeColor="accent3" w:themeShade="BF"/>
          <w:sz w:val="36"/>
          <w:szCs w:val="24"/>
        </w:rPr>
      </w:pPr>
      <w:r w:rsidRPr="00D015AF">
        <w:rPr>
          <w:rFonts w:ascii="Arial" w:hAnsi="Arial" w:cs="Arial"/>
          <w:b/>
          <w:color w:val="76923C" w:themeColor="accent3" w:themeShade="BF"/>
          <w:sz w:val="36"/>
          <w:szCs w:val="24"/>
        </w:rPr>
        <w:t xml:space="preserve">Ciclo de </w:t>
      </w:r>
      <w:proofErr w:type="spellStart"/>
      <w:r w:rsidRPr="00D015AF">
        <w:rPr>
          <w:rFonts w:ascii="Arial" w:hAnsi="Arial" w:cs="Arial"/>
          <w:b/>
          <w:color w:val="76923C" w:themeColor="accent3" w:themeShade="BF"/>
          <w:sz w:val="36"/>
          <w:szCs w:val="24"/>
        </w:rPr>
        <w:t>krebs</w:t>
      </w:r>
      <w:proofErr w:type="spellEnd"/>
    </w:p>
    <w:p w:rsidR="00D015AF" w:rsidRPr="00D015AF" w:rsidRDefault="00D015AF" w:rsidP="00D015AF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es-ES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-394335</wp:posOffset>
            </wp:positionH>
            <wp:positionV relativeFrom="line">
              <wp:posOffset>223520</wp:posOffset>
            </wp:positionV>
            <wp:extent cx="1714500" cy="990600"/>
            <wp:effectExtent l="19050" t="0" r="0" b="0"/>
            <wp:wrapThrough wrapText="bothSides">
              <wp:wrapPolygon edited="0">
                <wp:start x="-240" y="0"/>
                <wp:lineTo x="-240" y="21185"/>
                <wp:lineTo x="21600" y="21185"/>
                <wp:lineTo x="21600" y="0"/>
                <wp:lineTo x="-240" y="0"/>
              </wp:wrapPolygon>
            </wp:wrapThrough>
            <wp:docPr id="2" name="Imagen 2" descr="Reacción 1 del Ciclo de Krebs: Citrato sint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ción 1 del Ciclo de Krebs: Citrato sinta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Reacción 1: Citrato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sintasa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(De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oxalacetato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a citrato)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  <w:r w:rsidRPr="00D015AF">
        <w:rPr>
          <w:rFonts w:ascii="Arial" w:hAnsi="Arial" w:cs="Arial"/>
          <w:sz w:val="24"/>
          <w:szCs w:val="24"/>
        </w:rPr>
        <w:br/>
        <w:t xml:space="preserve">El sitio activo de la enzima, activa el </w:t>
      </w:r>
      <w:proofErr w:type="spellStart"/>
      <w:r w:rsidRPr="00D015AF">
        <w:rPr>
          <w:rFonts w:ascii="Arial" w:hAnsi="Arial" w:cs="Arial"/>
          <w:sz w:val="24"/>
          <w:szCs w:val="24"/>
        </w:rPr>
        <w:t>acetil-CoA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para hacerlo afín a un centro carbonoso del </w:t>
      </w:r>
      <w:proofErr w:type="spellStart"/>
      <w:r w:rsidRPr="00D015AF">
        <w:rPr>
          <w:rFonts w:ascii="Arial" w:hAnsi="Arial" w:cs="Arial"/>
          <w:sz w:val="24"/>
          <w:szCs w:val="24"/>
        </w:rPr>
        <w:t>oxalacetato</w:t>
      </w:r>
      <w:proofErr w:type="spellEnd"/>
      <w:r w:rsidRPr="00D015AF">
        <w:rPr>
          <w:rFonts w:ascii="Arial" w:hAnsi="Arial" w:cs="Arial"/>
          <w:sz w:val="24"/>
          <w:szCs w:val="24"/>
        </w:rPr>
        <w:t>.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D015AF" w:rsidRPr="00D015AF" w:rsidRDefault="00D015AF" w:rsidP="00D015AF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Reacción 2: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Aconitasa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(De citrato a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isocitrato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)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  <w:r w:rsidRPr="00D015AF">
        <w:rPr>
          <w:rFonts w:ascii="Arial" w:hAnsi="Arial" w:cs="Arial"/>
          <w:sz w:val="24"/>
          <w:szCs w:val="24"/>
        </w:rPr>
        <w:br/>
      </w:r>
      <w:r w:rsidRPr="00D015AF">
        <w:rPr>
          <w:rFonts w:ascii="Arial" w:hAnsi="Arial" w:cs="Arial"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628650"/>
            <wp:effectExtent l="19050" t="0" r="0" b="0"/>
            <wp:wrapSquare wrapText="bothSides"/>
            <wp:docPr id="3" name="Imagen 3" descr="Reacción citrato-isoci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cción citrato-isocitra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5AF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015AF">
        <w:rPr>
          <w:rFonts w:ascii="Arial" w:hAnsi="Arial" w:cs="Arial"/>
          <w:sz w:val="24"/>
          <w:szCs w:val="24"/>
        </w:rPr>
        <w:t>aconitasa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cataliza la isomerización del citrato a </w:t>
      </w:r>
      <w:proofErr w:type="spellStart"/>
      <w:r w:rsidRPr="00D015AF">
        <w:rPr>
          <w:rFonts w:ascii="Arial" w:hAnsi="Arial" w:cs="Arial"/>
          <w:sz w:val="24"/>
          <w:szCs w:val="24"/>
        </w:rPr>
        <w:t>isocitrato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, por la formación de </w:t>
      </w:r>
      <w:proofErr w:type="spellStart"/>
      <w:r w:rsidRPr="00D015AF">
        <w:rPr>
          <w:rFonts w:ascii="Arial" w:hAnsi="Arial" w:cs="Arial"/>
          <w:sz w:val="24"/>
          <w:szCs w:val="24"/>
        </w:rPr>
        <w:t>cis-aconitato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. La enzima cataliza también la reacción inversa, pero en el ciclo de </w:t>
      </w:r>
      <w:proofErr w:type="spellStart"/>
      <w:r w:rsidRPr="00D015AF">
        <w:rPr>
          <w:rFonts w:ascii="Arial" w:hAnsi="Arial" w:cs="Arial"/>
          <w:sz w:val="24"/>
          <w:szCs w:val="24"/>
        </w:rPr>
        <w:t>Krebs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tal reacción es unidireccional a causa de la ley de acción de masa: las concentraciones (en condiciones estándar) de citrato (91%), del intermediario </w:t>
      </w:r>
      <w:proofErr w:type="spellStart"/>
      <w:r w:rsidRPr="00D015AF">
        <w:rPr>
          <w:rFonts w:ascii="Arial" w:hAnsi="Arial" w:cs="Arial"/>
          <w:sz w:val="24"/>
          <w:szCs w:val="24"/>
        </w:rPr>
        <w:t>cis-aconitato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(3%) y de </w:t>
      </w:r>
      <w:proofErr w:type="spellStart"/>
      <w:r w:rsidRPr="00D015AF">
        <w:rPr>
          <w:rFonts w:ascii="Arial" w:hAnsi="Arial" w:cs="Arial"/>
          <w:sz w:val="24"/>
          <w:szCs w:val="24"/>
        </w:rPr>
        <w:t>isocitrato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(6%), empujan decididamente la reacción hacia la producción de </w:t>
      </w:r>
      <w:proofErr w:type="spellStart"/>
      <w:r w:rsidRPr="00D015AF">
        <w:rPr>
          <w:rFonts w:ascii="Arial" w:hAnsi="Arial" w:cs="Arial"/>
          <w:sz w:val="24"/>
          <w:szCs w:val="24"/>
        </w:rPr>
        <w:t>isocitrato</w:t>
      </w:r>
      <w:proofErr w:type="spellEnd"/>
      <w:r w:rsidRPr="00D015AF">
        <w:rPr>
          <w:rFonts w:ascii="Arial" w:hAnsi="Arial" w:cs="Arial"/>
          <w:sz w:val="24"/>
          <w:szCs w:val="24"/>
        </w:rPr>
        <w:t>. </w:t>
      </w:r>
    </w:p>
    <w:p w:rsidR="00D015AF" w:rsidRPr="00D015AF" w:rsidRDefault="00D015AF" w:rsidP="00D015AF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Reacción 3: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Isocitrato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deshidrogenasa (De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isocitrato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a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oxoglutarato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)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  <w:r w:rsidRPr="00D015AF">
        <w:rPr>
          <w:rFonts w:ascii="Arial" w:hAnsi="Arial" w:cs="Arial"/>
          <w:sz w:val="24"/>
          <w:szCs w:val="24"/>
        </w:rPr>
        <w:br/>
      </w:r>
      <w:r w:rsidRPr="00D015AF">
        <w:rPr>
          <w:rFonts w:ascii="Arial" w:hAnsi="Arial" w:cs="Arial"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828675"/>
            <wp:effectExtent l="19050" t="0" r="0" b="0"/>
            <wp:wrapSquare wrapText="bothSides"/>
            <wp:docPr id="4" name="Imagen 4" descr="Reacción isocitrato-oxogluta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cción isocitrato-oxoglutara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5AF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015AF">
        <w:rPr>
          <w:rFonts w:ascii="Arial" w:hAnsi="Arial" w:cs="Arial"/>
          <w:sz w:val="24"/>
          <w:szCs w:val="24"/>
        </w:rPr>
        <w:t>isocitrato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deshidrogenasa mitocondrial es una enzima dependiente de la presencia de NAD+ y de Mn2+ o Mg2+. Inicialmente, la enzima cataliza la oxidación del </w:t>
      </w:r>
      <w:proofErr w:type="spellStart"/>
      <w:r w:rsidRPr="00D015AF">
        <w:rPr>
          <w:rFonts w:ascii="Arial" w:hAnsi="Arial" w:cs="Arial"/>
          <w:sz w:val="24"/>
          <w:szCs w:val="24"/>
        </w:rPr>
        <w:t>isocitrato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15AF">
        <w:rPr>
          <w:rFonts w:ascii="Arial" w:hAnsi="Arial" w:cs="Arial"/>
          <w:sz w:val="24"/>
          <w:szCs w:val="24"/>
        </w:rPr>
        <w:t>oxalsuccinato</w:t>
      </w:r>
      <w:proofErr w:type="spellEnd"/>
      <w:r w:rsidRPr="00D015AF">
        <w:rPr>
          <w:rFonts w:ascii="Arial" w:hAnsi="Arial" w:cs="Arial"/>
          <w:sz w:val="24"/>
          <w:szCs w:val="24"/>
        </w:rPr>
        <w:t>, lo que genera una molécula de NADH a partir de NAD+. Sucesivamente, la presencia de un ión bivalente, que forma un complejo con los oxígenos del grupo carboxilo en posición alfa, aumenta la electronegatividad de esa región molecular.</w:t>
      </w:r>
    </w:p>
    <w:p w:rsidR="00D015AF" w:rsidRPr="00D015AF" w:rsidRDefault="00D015AF" w:rsidP="00D015AF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367030</wp:posOffset>
            </wp:positionV>
            <wp:extent cx="1714500" cy="1104900"/>
            <wp:effectExtent l="19050" t="0" r="0" b="0"/>
            <wp:wrapThrough wrapText="bothSides">
              <wp:wrapPolygon edited="0">
                <wp:start x="-240" y="0"/>
                <wp:lineTo x="-240" y="21228"/>
                <wp:lineTo x="21600" y="21228"/>
                <wp:lineTo x="21600" y="0"/>
                <wp:lineTo x="-240" y="0"/>
              </wp:wrapPolygon>
            </wp:wrapThrough>
            <wp:docPr id="1" name="Imagen 1" descr="Reacción oxoglutarato-succinil 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ción oxoglutarato-succinil 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Reacción 4: α-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cetoglutarato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deshidrogenasa (De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oxoglutarato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a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Succinil-CoA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)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  <w:r w:rsidRPr="00D015AF">
        <w:rPr>
          <w:rFonts w:ascii="Arial" w:hAnsi="Arial" w:cs="Arial"/>
          <w:sz w:val="24"/>
          <w:szCs w:val="24"/>
        </w:rPr>
        <w:t xml:space="preserve">Después de la conversión del </w:t>
      </w:r>
      <w:proofErr w:type="spellStart"/>
      <w:r w:rsidRPr="00D015AF">
        <w:rPr>
          <w:rFonts w:ascii="Arial" w:hAnsi="Arial" w:cs="Arial"/>
          <w:sz w:val="24"/>
          <w:szCs w:val="24"/>
        </w:rPr>
        <w:t>isocitrato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en α-</w:t>
      </w:r>
      <w:proofErr w:type="spellStart"/>
      <w:r w:rsidRPr="00D015AF">
        <w:rPr>
          <w:rFonts w:ascii="Arial" w:hAnsi="Arial" w:cs="Arial"/>
          <w:sz w:val="24"/>
          <w:szCs w:val="24"/>
        </w:rPr>
        <w:t>cetoglutarato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se produce una segunda reacción de </w:t>
      </w:r>
      <w:proofErr w:type="spellStart"/>
      <w:r w:rsidRPr="00D015AF">
        <w:rPr>
          <w:rFonts w:ascii="Arial" w:hAnsi="Arial" w:cs="Arial"/>
          <w:sz w:val="24"/>
          <w:szCs w:val="24"/>
        </w:rPr>
        <w:t>descarboxilación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5AF">
        <w:rPr>
          <w:rFonts w:ascii="Arial" w:hAnsi="Arial" w:cs="Arial"/>
          <w:sz w:val="24"/>
          <w:szCs w:val="24"/>
        </w:rPr>
        <w:t>oxidativa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, que lleva a la formación de </w:t>
      </w:r>
      <w:proofErr w:type="spellStart"/>
      <w:r w:rsidRPr="00D015AF">
        <w:rPr>
          <w:rFonts w:ascii="Arial" w:hAnsi="Arial" w:cs="Arial"/>
          <w:sz w:val="24"/>
          <w:szCs w:val="24"/>
        </w:rPr>
        <w:t>succinil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5AF">
        <w:rPr>
          <w:rFonts w:ascii="Arial" w:hAnsi="Arial" w:cs="Arial"/>
          <w:sz w:val="24"/>
          <w:szCs w:val="24"/>
        </w:rPr>
        <w:t>CoA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D015AF">
        <w:rPr>
          <w:rFonts w:ascii="Arial" w:hAnsi="Arial" w:cs="Arial"/>
          <w:sz w:val="24"/>
          <w:szCs w:val="24"/>
        </w:rPr>
        <w:t>descarboxilación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5AF">
        <w:rPr>
          <w:rFonts w:ascii="Arial" w:hAnsi="Arial" w:cs="Arial"/>
          <w:sz w:val="24"/>
          <w:szCs w:val="24"/>
        </w:rPr>
        <w:t>oxidativa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del α-</w:t>
      </w:r>
      <w:proofErr w:type="spellStart"/>
      <w:r w:rsidRPr="00D015AF">
        <w:rPr>
          <w:rFonts w:ascii="Arial" w:hAnsi="Arial" w:cs="Arial"/>
          <w:sz w:val="24"/>
          <w:szCs w:val="24"/>
        </w:rPr>
        <w:t>chetoglutarato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es muy parecida a la del </w:t>
      </w:r>
      <w:proofErr w:type="spellStart"/>
      <w:r w:rsidRPr="00D015AF">
        <w:rPr>
          <w:rFonts w:ascii="Arial" w:hAnsi="Arial" w:cs="Arial"/>
          <w:sz w:val="24"/>
          <w:szCs w:val="24"/>
        </w:rPr>
        <w:t>piruvato</w:t>
      </w:r>
      <w:proofErr w:type="spellEnd"/>
      <w:r w:rsidRPr="00D015AF">
        <w:rPr>
          <w:rFonts w:ascii="Arial" w:hAnsi="Arial" w:cs="Arial"/>
          <w:sz w:val="24"/>
          <w:szCs w:val="24"/>
        </w:rPr>
        <w:t>, otro α-</w:t>
      </w:r>
      <w:proofErr w:type="spellStart"/>
      <w:r w:rsidRPr="00D015AF">
        <w:rPr>
          <w:rFonts w:ascii="Arial" w:hAnsi="Arial" w:cs="Arial"/>
          <w:sz w:val="24"/>
          <w:szCs w:val="24"/>
        </w:rPr>
        <w:t>cetoácido</w:t>
      </w:r>
      <w:proofErr w:type="spellEnd"/>
      <w:r w:rsidRPr="00D015AF">
        <w:rPr>
          <w:rFonts w:ascii="Arial" w:hAnsi="Arial" w:cs="Arial"/>
          <w:sz w:val="24"/>
          <w:szCs w:val="24"/>
        </w:rPr>
        <w:t>.  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D015AF" w:rsidRDefault="00D015AF" w:rsidP="00D015AF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D015AF" w:rsidRPr="00D015AF" w:rsidRDefault="00D015AF" w:rsidP="00D015AF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Reacción 5: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Succinil-CoA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sintetasa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(De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Succinil-CoA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a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succinato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)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  <w:r w:rsidRPr="00D015AF">
        <w:rPr>
          <w:rFonts w:ascii="Arial" w:hAnsi="Arial" w:cs="Arial"/>
          <w:sz w:val="24"/>
          <w:szCs w:val="24"/>
        </w:rPr>
        <w:br/>
      </w:r>
      <w:r w:rsidRPr="00D015AF">
        <w:rPr>
          <w:rFonts w:ascii="Arial" w:hAnsi="Arial" w:cs="Arial"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171575"/>
            <wp:effectExtent l="19050" t="0" r="0" b="0"/>
            <wp:wrapSquare wrapText="bothSides"/>
            <wp:docPr id="5" name="Imagen 5" descr="Reacción succinil-CoA-succi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cción succinil-CoA-succina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5AF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D015AF">
        <w:rPr>
          <w:rFonts w:ascii="Arial" w:hAnsi="Arial" w:cs="Arial"/>
          <w:sz w:val="24"/>
          <w:szCs w:val="24"/>
        </w:rPr>
        <w:t>succinil-CoA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es un </w:t>
      </w:r>
      <w:proofErr w:type="spellStart"/>
      <w:r w:rsidRPr="00D015AF">
        <w:rPr>
          <w:rFonts w:ascii="Arial" w:hAnsi="Arial" w:cs="Arial"/>
          <w:sz w:val="24"/>
          <w:szCs w:val="24"/>
        </w:rPr>
        <w:t>tioéster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a alta energía (su ΔG°′ de hidrólisis está en unos -33.5 </w:t>
      </w:r>
      <w:proofErr w:type="spellStart"/>
      <w:r w:rsidRPr="00D015AF">
        <w:rPr>
          <w:rFonts w:ascii="Arial" w:hAnsi="Arial" w:cs="Arial"/>
          <w:sz w:val="24"/>
          <w:szCs w:val="24"/>
        </w:rPr>
        <w:t>kJ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mol-1, parecido al del ATP que es de -30.5 </w:t>
      </w:r>
      <w:proofErr w:type="spellStart"/>
      <w:r w:rsidRPr="00D015AF">
        <w:rPr>
          <w:rFonts w:ascii="Arial" w:hAnsi="Arial" w:cs="Arial"/>
          <w:sz w:val="24"/>
          <w:szCs w:val="24"/>
        </w:rPr>
        <w:t>kJ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mol-1). </w:t>
      </w:r>
      <w:proofErr w:type="gramStart"/>
      <w:r w:rsidRPr="00D015AF">
        <w:rPr>
          <w:rFonts w:ascii="Arial" w:hAnsi="Arial" w:cs="Arial"/>
          <w:sz w:val="24"/>
          <w:szCs w:val="24"/>
        </w:rPr>
        <w:t>La</w:t>
      </w:r>
      <w:proofErr w:type="gramEnd"/>
      <w:r w:rsidRPr="00D015AF">
        <w:rPr>
          <w:rFonts w:ascii="Arial" w:hAnsi="Arial" w:cs="Arial"/>
          <w:sz w:val="24"/>
          <w:szCs w:val="24"/>
        </w:rPr>
        <w:t xml:space="preserve"> citrato </w:t>
      </w:r>
      <w:proofErr w:type="spellStart"/>
      <w:r w:rsidRPr="00D015AF">
        <w:rPr>
          <w:rFonts w:ascii="Arial" w:hAnsi="Arial" w:cs="Arial"/>
          <w:sz w:val="24"/>
          <w:szCs w:val="24"/>
        </w:rPr>
        <w:t>sintasa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se sirve de un intermediario con tal unión a alta energía para llevar a cabo la fusión entre una molécula con dos átomos de carbono (</w:t>
      </w:r>
      <w:proofErr w:type="spellStart"/>
      <w:r w:rsidRPr="00D015AF">
        <w:rPr>
          <w:rFonts w:ascii="Arial" w:hAnsi="Arial" w:cs="Arial"/>
          <w:sz w:val="24"/>
          <w:szCs w:val="24"/>
        </w:rPr>
        <w:t>acetil-CoA</w:t>
      </w:r>
      <w:proofErr w:type="spellEnd"/>
      <w:r w:rsidRPr="00D015AF">
        <w:rPr>
          <w:rFonts w:ascii="Arial" w:hAnsi="Arial" w:cs="Arial"/>
          <w:sz w:val="24"/>
          <w:szCs w:val="24"/>
        </w:rPr>
        <w:t>) y una con cuatro (</w:t>
      </w:r>
      <w:proofErr w:type="spellStart"/>
      <w:r w:rsidRPr="00D015AF">
        <w:rPr>
          <w:rFonts w:ascii="Arial" w:hAnsi="Arial" w:cs="Arial"/>
          <w:sz w:val="24"/>
          <w:szCs w:val="24"/>
        </w:rPr>
        <w:t>oxalacetato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). La enzima </w:t>
      </w:r>
      <w:proofErr w:type="spellStart"/>
      <w:r w:rsidRPr="00D015AF">
        <w:rPr>
          <w:rFonts w:ascii="Arial" w:hAnsi="Arial" w:cs="Arial"/>
          <w:sz w:val="24"/>
          <w:szCs w:val="24"/>
        </w:rPr>
        <w:t>succinil-CoA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5AF">
        <w:rPr>
          <w:rFonts w:ascii="Arial" w:hAnsi="Arial" w:cs="Arial"/>
          <w:sz w:val="24"/>
          <w:szCs w:val="24"/>
        </w:rPr>
        <w:t>sintetasa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se sirve de tal energía para </w:t>
      </w:r>
      <w:proofErr w:type="spellStart"/>
      <w:r w:rsidRPr="00D015AF">
        <w:rPr>
          <w:rFonts w:ascii="Arial" w:hAnsi="Arial" w:cs="Arial"/>
          <w:sz w:val="24"/>
          <w:szCs w:val="24"/>
        </w:rPr>
        <w:t>fosforilar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015AF">
        <w:rPr>
          <w:rFonts w:ascii="Arial" w:hAnsi="Arial" w:cs="Arial"/>
          <w:sz w:val="24"/>
          <w:szCs w:val="24"/>
        </w:rPr>
        <w:t>nucleósido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5AF">
        <w:rPr>
          <w:rFonts w:ascii="Arial" w:hAnsi="Arial" w:cs="Arial"/>
          <w:sz w:val="24"/>
          <w:szCs w:val="24"/>
        </w:rPr>
        <w:t>difosfato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5AF">
        <w:rPr>
          <w:rFonts w:ascii="Arial" w:hAnsi="Arial" w:cs="Arial"/>
          <w:sz w:val="24"/>
          <w:szCs w:val="24"/>
        </w:rPr>
        <w:t>purinico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como el GDP. </w:t>
      </w:r>
    </w:p>
    <w:p w:rsidR="00D015AF" w:rsidRPr="00D015AF" w:rsidRDefault="00D015AF" w:rsidP="00D015AF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Reacción 6: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Succinato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deshidrogenasa (De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succinato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a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fumarato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)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  <w:r w:rsidRPr="00D015AF">
        <w:rPr>
          <w:rFonts w:ascii="Arial" w:hAnsi="Arial" w:cs="Arial"/>
          <w:sz w:val="24"/>
          <w:szCs w:val="24"/>
        </w:rPr>
        <w:br/>
      </w:r>
      <w:r w:rsidRPr="00D015AF">
        <w:rPr>
          <w:rFonts w:ascii="Arial" w:hAnsi="Arial" w:cs="Arial"/>
          <w:sz w:val="24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685925"/>
            <wp:effectExtent l="19050" t="0" r="0" b="0"/>
            <wp:wrapSquare wrapText="bothSides"/>
            <wp:docPr id="6" name="Imagen 6" descr="Reacción succinato-fuma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cción succinato-fumara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5AF">
        <w:rPr>
          <w:rFonts w:ascii="Arial" w:hAnsi="Arial" w:cs="Arial"/>
          <w:sz w:val="24"/>
          <w:szCs w:val="24"/>
        </w:rPr>
        <w:t xml:space="preserve">La parte final del ciclo consiste en la reorganización de moléculas a cuatro átomos de carbono hasta la regeneración del </w:t>
      </w:r>
      <w:proofErr w:type="spellStart"/>
      <w:r w:rsidRPr="00D015AF">
        <w:rPr>
          <w:rFonts w:ascii="Arial" w:hAnsi="Arial" w:cs="Arial"/>
          <w:sz w:val="24"/>
          <w:szCs w:val="24"/>
        </w:rPr>
        <w:t>oxalacetato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. Para que eso sea posible, el grupo metilo presente en el </w:t>
      </w:r>
      <w:proofErr w:type="spellStart"/>
      <w:r w:rsidRPr="00D015AF">
        <w:rPr>
          <w:rFonts w:ascii="Arial" w:hAnsi="Arial" w:cs="Arial"/>
          <w:sz w:val="24"/>
          <w:szCs w:val="24"/>
        </w:rPr>
        <w:t>succinato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tiene que convertirse en un carbonilo. Como ocurre en otras rutas, por ejemplo en la beta oxidación de </w:t>
      </w:r>
      <w:proofErr w:type="spellStart"/>
      <w:r w:rsidRPr="00D015AF">
        <w:rPr>
          <w:rFonts w:ascii="Arial" w:hAnsi="Arial" w:cs="Arial"/>
          <w:sz w:val="24"/>
          <w:szCs w:val="24"/>
        </w:rPr>
        <w:t>losácidos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grasos, tal conversión ocurre mediante tres pasos: una primera oxidación, una hidratación y una segunda oxidación. Estos tres pasos, además de regenerar </w:t>
      </w:r>
      <w:proofErr w:type="spellStart"/>
      <w:r w:rsidRPr="00D015AF">
        <w:rPr>
          <w:rFonts w:ascii="Arial" w:hAnsi="Arial" w:cs="Arial"/>
          <w:sz w:val="24"/>
          <w:szCs w:val="24"/>
        </w:rPr>
        <w:t>oxalacetato</w:t>
      </w:r>
      <w:proofErr w:type="spellEnd"/>
      <w:r w:rsidRPr="00D015AF">
        <w:rPr>
          <w:rFonts w:ascii="Arial" w:hAnsi="Arial" w:cs="Arial"/>
          <w:sz w:val="24"/>
          <w:szCs w:val="24"/>
        </w:rPr>
        <w:t>, permiten la extracción ulterior de energía mediante la formación de FADH2 y NADH. </w:t>
      </w:r>
    </w:p>
    <w:p w:rsidR="00D015AF" w:rsidRPr="00D015AF" w:rsidRDefault="00D015AF" w:rsidP="00D015AF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Reacción 7: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Fumarasa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(De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fumarato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 a L-malato)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  <w:r w:rsidRPr="00D015AF">
        <w:rPr>
          <w:rFonts w:ascii="Arial" w:hAnsi="Arial" w:cs="Arial"/>
          <w:sz w:val="24"/>
          <w:szCs w:val="24"/>
        </w:rPr>
        <w:br/>
      </w:r>
      <w:r w:rsidRPr="00D015AF">
        <w:rPr>
          <w:rFonts w:ascii="Arial" w:hAnsi="Arial" w:cs="Arial"/>
          <w:sz w:val="24"/>
          <w:szCs w:val="24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581150"/>
            <wp:effectExtent l="19050" t="0" r="0" b="0"/>
            <wp:wrapSquare wrapText="bothSides"/>
            <wp:docPr id="7" name="Imagen 7" descr="Reacción fumarato-L-ma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cción fumarato-L-mala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5AF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015AF">
        <w:rPr>
          <w:rFonts w:ascii="Arial" w:hAnsi="Arial" w:cs="Arial"/>
          <w:sz w:val="24"/>
          <w:szCs w:val="24"/>
        </w:rPr>
        <w:t>fumarasa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cataliza la adición en </w:t>
      </w:r>
      <w:proofErr w:type="spellStart"/>
      <w:r w:rsidRPr="00D015AF">
        <w:rPr>
          <w:rFonts w:ascii="Arial" w:hAnsi="Arial" w:cs="Arial"/>
          <w:sz w:val="24"/>
          <w:szCs w:val="24"/>
        </w:rPr>
        <w:t>trans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de un protón y un grupo OH- procedentes de una molécula de agua. La hidratación del </w:t>
      </w:r>
      <w:proofErr w:type="spellStart"/>
      <w:r w:rsidRPr="00D015AF">
        <w:rPr>
          <w:rFonts w:ascii="Arial" w:hAnsi="Arial" w:cs="Arial"/>
          <w:sz w:val="24"/>
          <w:szCs w:val="24"/>
        </w:rPr>
        <w:t>fumarato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produce L-malato.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D015AF" w:rsidRPr="00D015AF" w:rsidRDefault="00D015AF" w:rsidP="00D015AF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 xml:space="preserve">Reacción 8: Malato deshidrogenasa (De L-malato a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oxalacetato</w:t>
      </w:r>
      <w:proofErr w:type="spellEnd"/>
      <w:r w:rsidRPr="00D015AF">
        <w:rPr>
          <w:rFonts w:ascii="Arial" w:hAnsi="Arial" w:cs="Arial"/>
          <w:b/>
          <w:color w:val="C0504D" w:themeColor="accent2"/>
          <w:sz w:val="24"/>
          <w:szCs w:val="24"/>
        </w:rPr>
        <w:t>)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  <w:r w:rsidRPr="00D015AF">
        <w:rPr>
          <w:rFonts w:ascii="Arial" w:hAnsi="Arial" w:cs="Arial"/>
          <w:sz w:val="24"/>
          <w:szCs w:val="24"/>
        </w:rPr>
        <w:br/>
      </w:r>
      <w:r w:rsidRPr="00D015AF">
        <w:rPr>
          <w:rFonts w:ascii="Arial" w:hAnsi="Arial" w:cs="Arial"/>
          <w:sz w:val="24"/>
          <w:szCs w:val="24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904875"/>
            <wp:effectExtent l="19050" t="0" r="0" b="0"/>
            <wp:wrapSquare wrapText="bothSides"/>
            <wp:docPr id="8" name="Imagen 8" descr="Reacción L-malato-oxalace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acción L-malato-oxalaceta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5AF">
        <w:rPr>
          <w:rFonts w:ascii="Arial" w:hAnsi="Arial" w:cs="Arial"/>
          <w:sz w:val="24"/>
          <w:szCs w:val="24"/>
        </w:rPr>
        <w:t xml:space="preserve">La última reacción del ciclo de </w:t>
      </w:r>
      <w:proofErr w:type="spellStart"/>
      <w:r w:rsidRPr="00D015AF">
        <w:rPr>
          <w:rFonts w:ascii="Arial" w:hAnsi="Arial" w:cs="Arial"/>
          <w:sz w:val="24"/>
          <w:szCs w:val="24"/>
        </w:rPr>
        <w:t>Krebs</w:t>
      </w:r>
      <w:proofErr w:type="spellEnd"/>
      <w:r w:rsidRPr="00D015AF">
        <w:rPr>
          <w:rFonts w:ascii="Arial" w:hAnsi="Arial" w:cs="Arial"/>
          <w:sz w:val="24"/>
          <w:szCs w:val="24"/>
        </w:rPr>
        <w:t xml:space="preserve"> consiste en la oxidación del malato a </w:t>
      </w:r>
      <w:proofErr w:type="spellStart"/>
      <w:r w:rsidRPr="00D015AF">
        <w:rPr>
          <w:rFonts w:ascii="Arial" w:hAnsi="Arial" w:cs="Arial"/>
          <w:sz w:val="24"/>
          <w:szCs w:val="24"/>
        </w:rPr>
        <w:t>oxalacetato</w:t>
      </w:r>
      <w:proofErr w:type="spellEnd"/>
      <w:r w:rsidRPr="00D015AF">
        <w:rPr>
          <w:rFonts w:ascii="Arial" w:hAnsi="Arial" w:cs="Arial"/>
          <w:sz w:val="24"/>
          <w:szCs w:val="24"/>
        </w:rPr>
        <w:t>. La reacción, catalizada por la malato deshidrogenasa, utiliza otra molécula de NAD+ como aceptor de hidrógeno, produciendo NADH. </w:t>
      </w:r>
    </w:p>
    <w:p w:rsidR="00D015AF" w:rsidRPr="00D015AF" w:rsidRDefault="00D015AF" w:rsidP="00D015A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EFEFE"/>
        </w:rPr>
      </w:pPr>
    </w:p>
    <w:p w:rsidR="00D015AF" w:rsidRPr="00D015AF" w:rsidRDefault="00D015AF" w:rsidP="00D015AF">
      <w:pPr>
        <w:jc w:val="both"/>
        <w:rPr>
          <w:rFonts w:ascii="Arial" w:hAnsi="Arial" w:cs="Arial"/>
          <w:b/>
          <w:color w:val="C0504D" w:themeColor="accent2"/>
          <w:sz w:val="24"/>
          <w:szCs w:val="24"/>
          <w:shd w:val="clear" w:color="auto" w:fill="FEFEFE"/>
        </w:rPr>
      </w:pPr>
      <w:r w:rsidRPr="00D015AF">
        <w:rPr>
          <w:rFonts w:ascii="Arial" w:hAnsi="Arial" w:cs="Arial"/>
          <w:b/>
          <w:color w:val="C0504D" w:themeColor="accent2"/>
          <w:sz w:val="24"/>
          <w:szCs w:val="24"/>
          <w:shd w:val="clear" w:color="auto" w:fill="FEFEFE"/>
        </w:rPr>
        <w:t xml:space="preserve">Ciclo de </w:t>
      </w:r>
      <w:proofErr w:type="spellStart"/>
      <w:r w:rsidRPr="00D015AF">
        <w:rPr>
          <w:rFonts w:ascii="Arial" w:hAnsi="Arial" w:cs="Arial"/>
          <w:b/>
          <w:color w:val="C0504D" w:themeColor="accent2"/>
          <w:sz w:val="24"/>
          <w:szCs w:val="24"/>
          <w:shd w:val="clear" w:color="auto" w:fill="FEFEFE"/>
        </w:rPr>
        <w:t>krebs</w:t>
      </w:r>
      <w:proofErr w:type="spellEnd"/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  <w:r w:rsidRPr="00D015AF">
        <w:rPr>
          <w:rFonts w:ascii="Arial" w:hAnsi="Arial" w:cs="Arial"/>
          <w:color w:val="333333"/>
          <w:sz w:val="24"/>
          <w:szCs w:val="24"/>
          <w:shd w:val="clear" w:color="auto" w:fill="FEFEFE"/>
        </w:rPr>
        <w:t xml:space="preserve">El ciclo de </w:t>
      </w:r>
      <w:proofErr w:type="spellStart"/>
      <w:r w:rsidRPr="00D015AF">
        <w:rPr>
          <w:rFonts w:ascii="Arial" w:hAnsi="Arial" w:cs="Arial"/>
          <w:color w:val="333333"/>
          <w:sz w:val="24"/>
          <w:szCs w:val="24"/>
          <w:shd w:val="clear" w:color="auto" w:fill="FEFEFE"/>
        </w:rPr>
        <w:t>Krebs</w:t>
      </w:r>
      <w:proofErr w:type="spellEnd"/>
      <w:r w:rsidRPr="00D015AF">
        <w:rPr>
          <w:rFonts w:ascii="Arial" w:hAnsi="Arial" w:cs="Arial"/>
          <w:color w:val="333333"/>
          <w:sz w:val="24"/>
          <w:szCs w:val="24"/>
          <w:shd w:val="clear" w:color="auto" w:fill="FEFEFE"/>
        </w:rPr>
        <w:t xml:space="preserve"> es el</w:t>
      </w:r>
      <w:r w:rsidRPr="00D015A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EFEFE"/>
        </w:rPr>
        <w:t> </w:t>
      </w:r>
      <w:r w:rsidRPr="00D015AF">
        <w:rPr>
          <w:rStyle w:val="Textoennegrita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EFEFE"/>
        </w:rPr>
        <w:t>proceso central de la obtención de energía en todos los organismos del planeta</w:t>
      </w:r>
      <w:r w:rsidRPr="00D015AF">
        <w:rPr>
          <w:rFonts w:ascii="Arial" w:hAnsi="Arial" w:cs="Arial"/>
          <w:color w:val="333333"/>
          <w:sz w:val="24"/>
          <w:szCs w:val="24"/>
          <w:shd w:val="clear" w:color="auto" w:fill="FEFEFE"/>
        </w:rPr>
        <w:t>. Recibe este nombre en honor al científico alemán</w:t>
      </w:r>
      <w:r w:rsidRPr="00D015A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EFEFE"/>
        </w:rPr>
        <w:t> </w:t>
      </w:r>
      <w:r w:rsidRPr="00D015AF">
        <w:rPr>
          <w:rStyle w:val="Textoennegrita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EFEFE"/>
        </w:rPr>
        <w:t xml:space="preserve">Hans Adolf </w:t>
      </w:r>
      <w:proofErr w:type="spellStart"/>
      <w:r w:rsidRPr="00D015AF">
        <w:rPr>
          <w:rStyle w:val="Textoennegrita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EFEFE"/>
        </w:rPr>
        <w:t>Krebs</w:t>
      </w:r>
      <w:proofErr w:type="spellEnd"/>
      <w:r w:rsidRPr="00D015AF"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D015AF">
        <w:rPr>
          <w:rFonts w:ascii="Arial" w:hAnsi="Arial" w:cs="Arial"/>
          <w:color w:val="333333"/>
          <w:sz w:val="24"/>
          <w:szCs w:val="24"/>
          <w:shd w:val="clear" w:color="auto" w:fill="FEFEFE"/>
        </w:rPr>
        <w:t>quien junto con</w:t>
      </w:r>
      <w:r w:rsidRPr="00D015A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EFEFE"/>
        </w:rPr>
        <w:t> </w:t>
      </w:r>
      <w:r w:rsidRPr="00D015AF">
        <w:rPr>
          <w:rStyle w:val="Textoennegrita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EFEFE"/>
        </w:rPr>
        <w:t xml:space="preserve">Fritz Albert </w:t>
      </w:r>
      <w:proofErr w:type="spellStart"/>
      <w:r w:rsidRPr="00D015AF">
        <w:rPr>
          <w:rStyle w:val="Textoennegrita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EFEFE"/>
        </w:rPr>
        <w:t>Lipmanndescribió</w:t>
      </w:r>
      <w:proofErr w:type="spellEnd"/>
      <w:r w:rsidRPr="00D015AF">
        <w:rPr>
          <w:rStyle w:val="Textoennegrita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EFEFE"/>
        </w:rPr>
        <w:t xml:space="preserve"> el ciclo que lleva su nombre y la coenzima A (</w:t>
      </w:r>
      <w:proofErr w:type="spellStart"/>
      <w:r w:rsidRPr="00D015AF">
        <w:rPr>
          <w:rStyle w:val="Textoennegrita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EFEFE"/>
        </w:rPr>
        <w:t>CoA</w:t>
      </w:r>
      <w:proofErr w:type="spellEnd"/>
      <w:r w:rsidRPr="00D015AF">
        <w:rPr>
          <w:rStyle w:val="Textoennegrita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EFEFE"/>
        </w:rPr>
        <w:t>),</w:t>
      </w:r>
      <w:r w:rsidRPr="00D015AF"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EFEFE"/>
        </w:rPr>
        <w:t> </w:t>
      </w:r>
      <w:r w:rsidRPr="00D015AF">
        <w:rPr>
          <w:rFonts w:ascii="Arial" w:hAnsi="Arial" w:cs="Arial"/>
          <w:color w:val="333333"/>
          <w:sz w:val="24"/>
          <w:szCs w:val="24"/>
          <w:shd w:val="clear" w:color="auto" w:fill="FEFEFE"/>
        </w:rPr>
        <w:t>principal precursor del sustrato del ciclo. Por este descubrimiento ambos recibieron en 1953 el premio</w:t>
      </w:r>
      <w:r w:rsidRPr="00D015A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EFEFE"/>
        </w:rPr>
        <w:t> </w:t>
      </w:r>
      <w:r w:rsidRPr="00D015AF">
        <w:rPr>
          <w:rStyle w:val="Textoennegrita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EFEFE"/>
        </w:rPr>
        <w:t>Nobel de Fisiología y Medicina</w:t>
      </w:r>
      <w:r w:rsidRPr="00D015AF">
        <w:rPr>
          <w:rFonts w:ascii="Arial" w:hAnsi="Arial" w:cs="Arial"/>
          <w:color w:val="333333"/>
          <w:sz w:val="24"/>
          <w:szCs w:val="24"/>
          <w:shd w:val="clear" w:color="auto" w:fill="FEFEFE"/>
        </w:rPr>
        <w:t>.</w:t>
      </w:r>
    </w:p>
    <w:p w:rsidR="00D015AF" w:rsidRPr="00D015AF" w:rsidRDefault="00D015AF" w:rsidP="00D015AF">
      <w:pPr>
        <w:jc w:val="both"/>
        <w:rPr>
          <w:rFonts w:ascii="Arial" w:hAnsi="Arial" w:cs="Arial"/>
          <w:sz w:val="24"/>
          <w:szCs w:val="24"/>
        </w:rPr>
      </w:pPr>
    </w:p>
    <w:p w:rsidR="00300E77" w:rsidRPr="00D015AF" w:rsidRDefault="00300E77" w:rsidP="00D015AF">
      <w:pPr>
        <w:jc w:val="both"/>
        <w:rPr>
          <w:rFonts w:ascii="Arial" w:hAnsi="Arial" w:cs="Arial"/>
          <w:sz w:val="24"/>
          <w:szCs w:val="24"/>
        </w:rPr>
      </w:pPr>
    </w:p>
    <w:sectPr w:rsidR="00300E77" w:rsidRPr="00D015AF" w:rsidSect="00300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5AF"/>
    <w:rsid w:val="00300E77"/>
    <w:rsid w:val="00D0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015AF"/>
  </w:style>
  <w:style w:type="character" w:styleId="Textoennegrita">
    <w:name w:val="Strong"/>
    <w:basedOn w:val="Fuentedeprrafopredeter"/>
    <w:uiPriority w:val="22"/>
    <w:qFormat/>
    <w:rsid w:val="00D01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2017-05-11T02:08:00Z</dcterms:created>
  <dcterms:modified xsi:type="dcterms:W3CDTF">2017-05-11T02:11:00Z</dcterms:modified>
</cp:coreProperties>
</file>