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F2" w:rsidRPr="00F46EF2" w:rsidRDefault="00F46EF2" w:rsidP="00F46EF2">
      <w:pPr>
        <w:jc w:val="center"/>
        <w:rPr>
          <w:color w:val="FF0000"/>
          <w:sz w:val="44"/>
          <w:szCs w:val="44"/>
        </w:rPr>
      </w:pPr>
      <w:r w:rsidRPr="00F46EF2">
        <w:rPr>
          <w:color w:val="FF0000"/>
          <w:sz w:val="44"/>
          <w:szCs w:val="44"/>
        </w:rPr>
        <w:t>ACTIVIDAD PRELIMINAR</w:t>
      </w:r>
    </w:p>
    <w:p w:rsidR="00F46EF2" w:rsidRPr="00F46EF2" w:rsidRDefault="00053C4B" w:rsidP="00F46EF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UNIDAD 3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Nombre del alumno: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proofErr w:type="spellStart"/>
      <w:r w:rsidRPr="00F46EF2">
        <w:rPr>
          <w:sz w:val="44"/>
          <w:szCs w:val="44"/>
        </w:rPr>
        <w:t>Mariam</w:t>
      </w:r>
      <w:proofErr w:type="spellEnd"/>
      <w:r w:rsidRPr="00F46EF2">
        <w:rPr>
          <w:sz w:val="44"/>
          <w:szCs w:val="44"/>
        </w:rPr>
        <w:t xml:space="preserve"> </w:t>
      </w:r>
      <w:proofErr w:type="spellStart"/>
      <w:r w:rsidRPr="00F46EF2">
        <w:rPr>
          <w:sz w:val="44"/>
          <w:szCs w:val="44"/>
        </w:rPr>
        <w:t>Sarahi</w:t>
      </w:r>
      <w:proofErr w:type="spellEnd"/>
      <w:r w:rsidRPr="00F46EF2">
        <w:rPr>
          <w:sz w:val="44"/>
          <w:szCs w:val="44"/>
        </w:rPr>
        <w:t xml:space="preserve"> Ledezma García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Matricula: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LTU785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Carrera: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Turismo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Semestre:</w:t>
      </w:r>
    </w:p>
    <w:p w:rsidR="00F46EF2" w:rsidRPr="00F46EF2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Octavo</w:t>
      </w:r>
    </w:p>
    <w:p w:rsidR="00F46EF2" w:rsidRPr="00F46EF2" w:rsidRDefault="00F46EF2" w:rsidP="00F46EF2">
      <w:pPr>
        <w:jc w:val="center"/>
        <w:rPr>
          <w:b/>
          <w:sz w:val="44"/>
          <w:szCs w:val="44"/>
        </w:rPr>
      </w:pPr>
      <w:r w:rsidRPr="00F46EF2">
        <w:rPr>
          <w:b/>
          <w:sz w:val="44"/>
          <w:szCs w:val="44"/>
        </w:rPr>
        <w:t>Materia:</w:t>
      </w:r>
    </w:p>
    <w:p w:rsidR="007925E8" w:rsidRDefault="00F46EF2" w:rsidP="00F46EF2">
      <w:pPr>
        <w:jc w:val="center"/>
        <w:rPr>
          <w:sz w:val="44"/>
          <w:szCs w:val="44"/>
        </w:rPr>
      </w:pPr>
      <w:r w:rsidRPr="00F46EF2">
        <w:rPr>
          <w:sz w:val="44"/>
          <w:szCs w:val="44"/>
        </w:rPr>
        <w:t>Administración de Congresos y Convenciones</w:t>
      </w:r>
    </w:p>
    <w:p w:rsidR="00F46EF2" w:rsidRDefault="00F46EF2" w:rsidP="00F46EF2">
      <w:pPr>
        <w:jc w:val="center"/>
        <w:rPr>
          <w:sz w:val="44"/>
          <w:szCs w:val="44"/>
        </w:rPr>
      </w:pPr>
    </w:p>
    <w:p w:rsidR="00F46EF2" w:rsidRDefault="00CB5AE4" w:rsidP="00F46EF2">
      <w:pPr>
        <w:jc w:val="center"/>
        <w:rPr>
          <w:sz w:val="44"/>
          <w:szCs w:val="44"/>
        </w:rPr>
      </w:pPr>
      <w:r w:rsidRPr="00CB5AE4">
        <w:rPr>
          <w:noProof/>
          <w:sz w:val="44"/>
          <w:szCs w:val="44"/>
          <w:lang w:eastAsia="es-MX"/>
        </w:rPr>
        <w:drawing>
          <wp:inline distT="0" distB="0" distL="0" distR="0">
            <wp:extent cx="5612130" cy="1787020"/>
            <wp:effectExtent l="0" t="0" r="7620" b="3810"/>
            <wp:docPr id="1" name="Imagen 1" descr="Resultado de imagen para EVENTOS Y CONVEN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VENTOS Y CONVENCI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91" w:rsidRDefault="00533F91" w:rsidP="001079ED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</w:p>
    <w:p w:rsidR="00053C4B" w:rsidRDefault="00053C4B" w:rsidP="00053C4B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Instrucciones:</w:t>
      </w:r>
    </w:p>
    <w:p w:rsidR="00053C4B" w:rsidRDefault="00053C4B" w:rsidP="00053C4B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</w:p>
    <w:p w:rsidR="00053C4B" w:rsidRDefault="00053C4B" w:rsidP="00053C4B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  <w:r w:rsidRPr="00053C4B">
        <w:rPr>
          <w:rFonts w:ascii="Arial" w:hAnsi="Arial" w:cs="Arial"/>
          <w:color w:val="FF0000"/>
          <w:sz w:val="24"/>
          <w:szCs w:val="24"/>
        </w:rPr>
        <w:t>Describir los diferentes tipos de datos geográficos, recursos naturales, culturales y turísticos que se requieren para la instalación de un centro de convenciones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053C4B" w:rsidRPr="00053C4B" w:rsidRDefault="00053C4B" w:rsidP="00053C4B">
      <w:pPr>
        <w:pStyle w:val="Prrafodelista"/>
        <w:ind w:left="735"/>
        <w:jc w:val="both"/>
        <w:rPr>
          <w:rFonts w:ascii="Arial" w:hAnsi="Arial" w:cs="Arial"/>
          <w:color w:val="FF0000"/>
          <w:sz w:val="24"/>
          <w:szCs w:val="24"/>
        </w:rPr>
      </w:pP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Los datos geográficos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para los centros de convenciones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son entidades espacio–temporales que cuantifican la distribución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del lugar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, el estado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donde se llevara </w:t>
      </w:r>
      <w:r w:rsidR="00474DB4">
        <w:rPr>
          <w:rFonts w:ascii="Arial" w:hAnsi="Arial" w:cs="Arial"/>
          <w:color w:val="0D0D0D" w:themeColor="text1" w:themeTint="F2"/>
          <w:sz w:val="24"/>
          <w:szCs w:val="24"/>
        </w:rPr>
        <w:t>a cabo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y los vínculos de los distintos fenómenos u objetos naturales y sociales. 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Cárdenas (2008)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Los datos geográficos cuentan con tres componentes que hacen referencia a su localización, atributos y al variable tiempo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los cuales son:</w:t>
      </w: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Componente espacial</w:t>
      </w:r>
      <w:r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Hace referencia a la localización geográfica, las propiedades espaciales de los objetos y las relaciones espaciales que existen entre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ellos (Gutiérrez y Gould, 1994)</w:t>
      </w: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806C4" w:rsidRP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Componente temática</w:t>
      </w:r>
      <w:r>
        <w:rPr>
          <w:rFonts w:ascii="Arial" w:hAnsi="Arial" w:cs="Arial"/>
          <w:color w:val="0D0D0D" w:themeColor="text1" w:themeTint="F2"/>
          <w:sz w:val="24"/>
          <w:szCs w:val="24"/>
        </w:rPr>
        <w:t>:</w:t>
      </w: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Son las características que se conocen como atributos de los objetos con los que represent</w:t>
      </w:r>
      <w:r>
        <w:rPr>
          <w:rFonts w:ascii="Arial" w:hAnsi="Arial" w:cs="Arial"/>
          <w:color w:val="0D0D0D" w:themeColor="text1" w:themeTint="F2"/>
          <w:sz w:val="24"/>
          <w:szCs w:val="24"/>
        </w:rPr>
        <w:t>amos el mundo real. Cada objeto p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uede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registrar un determinado valor para sus atributos (variables), los cuales pueden presentar cierta regularidad en el espacio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y en el tiempo y, además, pueden ser de distinto tipo y escala de medida (Gutiérrez y Gould, 1994).</w:t>
      </w: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806C4" w:rsidRP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Componente temporal</w:t>
      </w:r>
      <w:r>
        <w:rPr>
          <w:rFonts w:ascii="Arial" w:hAnsi="Arial" w:cs="Arial"/>
          <w:color w:val="0D0D0D" w:themeColor="text1" w:themeTint="F2"/>
          <w:sz w:val="24"/>
          <w:szCs w:val="24"/>
        </w:rPr>
        <w:t>:</w:t>
      </w:r>
    </w:p>
    <w:p w:rsidR="00E806C4" w:rsidRP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La consideración de la dimensión temporal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en congresos y convenciones 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supone la necesidad de almacenar y tratar grandes volúmenes de datos,</w:t>
      </w: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Ya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que cada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evento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tiene un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nivel de información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que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se debe almacenar tantas 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veces, como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la recolecciones de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mo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mentos temporales que se consideren 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para el análisis del área de estudio (Gutiérrez y Gould, 1994)</w:t>
      </w: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806C4" w:rsidRP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A su vez, el </w:t>
      </w:r>
      <w:r w:rsidR="00474DB4">
        <w:rPr>
          <w:rFonts w:ascii="Arial" w:hAnsi="Arial" w:cs="Arial"/>
          <w:color w:val="0D0D0D" w:themeColor="text1" w:themeTint="F2"/>
          <w:sz w:val="24"/>
          <w:szCs w:val="24"/>
        </w:rPr>
        <w:t>hecho de poner un centro de convenciones según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Cárdenas (2008), se encuentra conformado por el conjunto de bienes y servicios que se ofrecen al mercado, para un confort material o espiritual, en forma individual o en gama muy amplia de combinaciones resultante de las necesidades, requerimientos o deseos de un consumidor al que llamamos turista. Se puede decir así, que </w:t>
      </w:r>
      <w:r w:rsid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los centros de convenciones se conforman 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por la oferta turística de un destino, que a su vez la componen el conjunto de atractivos, bienes, servicios y facilidades capaces de atraer al visitante. </w:t>
      </w:r>
    </w:p>
    <w:p w:rsidR="00474DB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Entre ellos encontramos los recursos naturales: playas, manglares, selva, ríos, cuevas, flora, fauna, etc., que pueden conformar un atractivo turístico; los servicios como: alojamiento, establecimientos de alimentos, agencias de 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viaje, arrendadoras y guías de turista; de accesibilidad: carreteras, y diferentes tipos de transportación.</w:t>
      </w:r>
    </w:p>
    <w:p w:rsidR="00474DB4" w:rsidRDefault="00474DB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Los destinos turísticos</w:t>
      </w:r>
      <w:r w:rsid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son de suma importancia para la selección, 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desarrollo y fomento de la actividad </w:t>
      </w:r>
      <w:r w:rsidR="00474DB4" w:rsidRPr="00E806C4">
        <w:rPr>
          <w:rFonts w:ascii="Arial" w:hAnsi="Arial" w:cs="Arial"/>
          <w:color w:val="0D0D0D" w:themeColor="text1" w:themeTint="F2"/>
          <w:sz w:val="24"/>
          <w:szCs w:val="24"/>
        </w:rPr>
        <w:t>turística,</w:t>
      </w:r>
      <w:r w:rsid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considerando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no solo el recurso natural con el que cuenta, sino que requieren tomar en cuenta aspectos como la infraestructura, los servicios y la planeación pública previa de la ciudad ya que permitirán la facilidad de acceso al lugar. </w:t>
      </w:r>
      <w:r w:rsidR="00474DB4" w:rsidRPr="00474DB4">
        <w:rPr>
          <w:rFonts w:ascii="Arial" w:hAnsi="Arial" w:cs="Arial"/>
          <w:color w:val="0D0D0D" w:themeColor="text1" w:themeTint="F2"/>
          <w:sz w:val="24"/>
          <w:szCs w:val="24"/>
        </w:rPr>
        <w:t>Cárdenas (2008</w:t>
      </w:r>
      <w:r w:rsidR="00474DB4">
        <w:rPr>
          <w:rFonts w:ascii="Arial" w:hAnsi="Arial" w:cs="Arial"/>
          <w:color w:val="0D0D0D" w:themeColor="text1" w:themeTint="F2"/>
          <w:sz w:val="24"/>
          <w:szCs w:val="24"/>
        </w:rPr>
        <w:t>)</w:t>
      </w:r>
    </w:p>
    <w:p w:rsidR="00474DB4" w:rsidRPr="00E806C4" w:rsidRDefault="00474DB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806C4" w:rsidRDefault="00E806C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Las facilidades se refieren al alojamiento en todas sus formas; a la industria de alimentos y bebidas; al entretenimiento y diversión; a las agencias de viaje; a las arrendadoras de automóviles y, en forma especial, al personal capacitado disponible para atender adecuadamente a los turistas</w:t>
      </w:r>
      <w:r w:rsid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y a nuestros expositores, para completar esta parte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se requ</w:t>
      </w:r>
      <w:r w:rsid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iere de atractivos que 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>sean</w:t>
      </w:r>
      <w:r w:rsid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 totalmente accesibles, para la transportación al lugar</w:t>
      </w:r>
      <w:r w:rsidRPr="00E806C4">
        <w:rPr>
          <w:rFonts w:ascii="Arial" w:hAnsi="Arial" w:cs="Arial"/>
          <w:color w:val="0D0D0D" w:themeColor="text1" w:themeTint="F2"/>
          <w:sz w:val="24"/>
          <w:szCs w:val="24"/>
        </w:rPr>
        <w:t xml:space="preserve"> ya se</w:t>
      </w:r>
      <w:r w:rsidR="00474DB4">
        <w:rPr>
          <w:rFonts w:ascii="Arial" w:hAnsi="Arial" w:cs="Arial"/>
          <w:color w:val="0D0D0D" w:themeColor="text1" w:themeTint="F2"/>
          <w:sz w:val="24"/>
          <w:szCs w:val="24"/>
        </w:rPr>
        <w:t>a por barco, por avión, autobús.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-357891843"/>
          <w:citation/>
        </w:sdtPr>
        <w:sdtContent>
          <w:r w:rsidR="00474DB4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 w:rsidR="00474DB4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 CITATION Edg15 \l 2058 </w:instrText>
          </w:r>
          <w:r w:rsidR="00474DB4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 w:rsidR="00474DB4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="00474DB4" w:rsidRPr="00474DB4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(Rosales, 2015)</w:t>
          </w:r>
          <w:r w:rsidR="00474DB4"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474DB4" w:rsidRDefault="00474DB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74DB4" w:rsidRDefault="00474DB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Recursos naturales: en esta parte se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constituye la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medida fundamental de la oferta de nuestro centro de convenciones tomando en cuenta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los recursos naturales de que dispone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el lugar del evento,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para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uso y placer de los visitantes y expositores,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tomando en cuenta lo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s elementos básicos en esta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parte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incluyen</w:t>
      </w:r>
      <w:r>
        <w:rPr>
          <w:rFonts w:ascii="Arial" w:hAnsi="Arial" w:cs="Arial"/>
          <w:color w:val="0D0D0D" w:themeColor="text1" w:themeTint="F2"/>
          <w:sz w:val="24"/>
          <w:szCs w:val="24"/>
        </w:rPr>
        <w:t>do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al aire y el clima, los accidentes geográficos, el terreno, la flora, la fauna, los cuerpos de agua, las playas, las bellezas naturales, etc.</w:t>
      </w:r>
      <w:sdt>
        <w:sdtPr>
          <w:rPr>
            <w:rFonts w:ascii="Arial" w:hAnsi="Arial" w:cs="Arial"/>
            <w:color w:val="0D0D0D" w:themeColor="text1" w:themeTint="F2"/>
            <w:sz w:val="24"/>
            <w:szCs w:val="24"/>
          </w:rPr>
          <w:id w:val="129292806"/>
          <w:citation/>
        </w:sdtPr>
        <w:sdtContent>
          <w:r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 CITATION Mar12 \l 2058 </w:instrText>
          </w:r>
          <w:r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 xml:space="preserve"> </w:t>
          </w:r>
          <w:r w:rsidRPr="00474DB4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(Perez, 2012)</w:t>
          </w:r>
          <w:r>
            <w:rPr>
              <w:rFonts w:ascii="Arial" w:hAnsi="Arial" w:cs="Arial"/>
              <w:color w:val="0D0D0D" w:themeColor="text1" w:themeTint="F2"/>
              <w:sz w:val="24"/>
              <w:szCs w:val="24"/>
            </w:rPr>
            <w:fldChar w:fldCharType="end"/>
          </w:r>
        </w:sdtContent>
      </w:sdt>
    </w:p>
    <w:p w:rsidR="00474DB4" w:rsidRDefault="00474DB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74DB4" w:rsidRPr="00E806C4" w:rsidRDefault="00474DB4" w:rsidP="00E806C4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Recursos culturales: Aquí se 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incluye toda la riqueza cultural de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nuestro destino para realizar nuestros eventos, es donde aquí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se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hace posible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la estancia satisfactoria de nuestros clientes y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turistas.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Por ejemplo</w:t>
      </w:r>
      <w:r w:rsidRPr="00474DB4">
        <w:rPr>
          <w:rFonts w:ascii="Arial" w:hAnsi="Arial" w:cs="Arial"/>
          <w:color w:val="0D0D0D" w:themeColor="text1" w:themeTint="F2"/>
          <w:sz w:val="24"/>
          <w:szCs w:val="24"/>
        </w:rPr>
        <w:t xml:space="preserve"> el espíritu de bienvenida de los empleados del negocio turístico, la actitud de los residentes hacia los visitantes y otras manifestaciones de cordialidad y amistad. Además, se incluyen aquellos recursos culturales de cualquier área: bellas artes, literatura, historia, música, arte dramático, danza, compra</w:t>
      </w:r>
      <w:r>
        <w:rPr>
          <w:rFonts w:ascii="Arial" w:hAnsi="Arial" w:cs="Arial"/>
          <w:color w:val="0D0D0D" w:themeColor="text1" w:themeTint="F2"/>
          <w:sz w:val="24"/>
          <w:szCs w:val="24"/>
        </w:rPr>
        <w:t>s, deportes y otras actividades que pueden hacer más satisf</w:t>
      </w:r>
      <w:r w:rsidR="00E2639C">
        <w:rPr>
          <w:rFonts w:ascii="Arial" w:hAnsi="Arial" w:cs="Arial"/>
          <w:color w:val="0D0D0D" w:themeColor="text1" w:themeTint="F2"/>
          <w:sz w:val="24"/>
          <w:szCs w:val="24"/>
        </w:rPr>
        <w:t>actoria la estancia en el lugar.</w:t>
      </w:r>
      <w:r w:rsidR="00E2639C" w:rsidRPr="00E2639C">
        <w:t xml:space="preserve"> </w:t>
      </w:r>
      <w:sdt>
        <w:sdtPr>
          <w:id w:val="-1026861480"/>
          <w:citation/>
        </w:sdtPr>
        <w:sdtContent>
          <w:r w:rsidR="00E2639C">
            <w:fldChar w:fldCharType="begin"/>
          </w:r>
          <w:r w:rsidR="00E2639C">
            <w:rPr>
              <w:rFonts w:ascii="Arial" w:hAnsi="Arial" w:cs="Arial"/>
              <w:color w:val="0D0D0D" w:themeColor="text1" w:themeTint="F2"/>
              <w:sz w:val="24"/>
              <w:szCs w:val="24"/>
            </w:rPr>
            <w:instrText xml:space="preserve">CITATION Mar12 \l 2058 </w:instrText>
          </w:r>
          <w:r w:rsidR="00E2639C">
            <w:fldChar w:fldCharType="separate"/>
          </w:r>
          <w:r w:rsidR="00E2639C" w:rsidRPr="00E2639C">
            <w:rPr>
              <w:rFonts w:ascii="Arial" w:hAnsi="Arial" w:cs="Arial"/>
              <w:noProof/>
              <w:color w:val="0D0D0D" w:themeColor="text1" w:themeTint="F2"/>
              <w:sz w:val="24"/>
              <w:szCs w:val="24"/>
            </w:rPr>
            <w:t>(Perez, 2012)</w:t>
          </w:r>
          <w:r w:rsidR="00E2639C">
            <w:fldChar w:fldCharType="end"/>
          </w:r>
        </w:sdtContent>
      </w:sdt>
    </w:p>
    <w:p w:rsidR="00A73135" w:rsidRDefault="00A73135" w:rsidP="00A7313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2639C" w:rsidRDefault="00A73135" w:rsidP="00A7313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</w:t>
      </w:r>
    </w:p>
    <w:p w:rsidR="00E2639C" w:rsidRDefault="00E2639C" w:rsidP="00A7313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2639C" w:rsidRDefault="00E2639C" w:rsidP="00A7313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2639C" w:rsidRDefault="00E2639C" w:rsidP="00A7313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2639C" w:rsidRDefault="00E2639C" w:rsidP="00A7313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33F91" w:rsidRPr="00A73135" w:rsidRDefault="00E2639C" w:rsidP="00A7313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 </w:t>
      </w:r>
      <w:r w:rsidR="00A73135">
        <w:rPr>
          <w:rFonts w:ascii="Arial" w:hAnsi="Arial" w:cs="Arial"/>
          <w:color w:val="FF0000"/>
          <w:sz w:val="24"/>
          <w:szCs w:val="24"/>
        </w:rPr>
        <w:t xml:space="preserve"> </w:t>
      </w:r>
      <w:r w:rsidR="00533F91" w:rsidRPr="00A73135">
        <w:rPr>
          <w:rFonts w:ascii="Arial" w:hAnsi="Arial" w:cs="Arial"/>
          <w:color w:val="FF0000"/>
          <w:sz w:val="24"/>
          <w:szCs w:val="24"/>
        </w:rPr>
        <w:t>Bibliografía:</w:t>
      </w:r>
    </w:p>
    <w:p w:rsidR="00533F91" w:rsidRPr="00E2639C" w:rsidRDefault="00E2639C" w:rsidP="00E2639C">
      <w:pPr>
        <w:pStyle w:val="Prrafodelista"/>
        <w:ind w:left="73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>Datos generales</w:t>
      </w:r>
      <w:r w:rsidR="00533F91"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 en grupos y c</w:t>
      </w: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>onvenciones: Consultado el día 4</w:t>
      </w:r>
      <w:r w:rsidR="00533F91"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 de </w:t>
      </w: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Abril </w:t>
      </w:r>
      <w:r w:rsidR="00533F91"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del 2017. Autor: Edgar </w:t>
      </w: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>Rosales</w:t>
      </w:r>
    </w:p>
    <w:p w:rsidR="00533F91" w:rsidRPr="00E2639C" w:rsidRDefault="00533F91" w:rsidP="00E2639C">
      <w:pPr>
        <w:pStyle w:val="Prrafodelista"/>
        <w:ind w:left="735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33F91" w:rsidRPr="00E2639C" w:rsidRDefault="00E2639C" w:rsidP="00E2639C">
      <w:pPr>
        <w:pStyle w:val="Prrafodelista"/>
        <w:ind w:left="735"/>
        <w:rPr>
          <w:rFonts w:ascii="Arial" w:hAnsi="Arial" w:cs="Arial"/>
          <w:color w:val="0D0D0D" w:themeColor="text1" w:themeTint="F2"/>
          <w:sz w:val="24"/>
          <w:szCs w:val="24"/>
        </w:rPr>
      </w:pPr>
      <w:hyperlink r:id="rId7" w:history="1">
        <w:r w:rsidR="00AE61BC" w:rsidRPr="00E2639C">
          <w:rPr>
            <w:rStyle w:val="Hipervnculo"/>
            <w:rFonts w:ascii="Arial" w:hAnsi="Arial" w:cs="Arial"/>
            <w:color w:val="0D0D0D" w:themeColor="text1" w:themeTint="F2"/>
            <w:sz w:val="24"/>
            <w:szCs w:val="24"/>
            <w:u w:val="none"/>
          </w:rPr>
          <w:t>http://www.funlibre.org/documentos/idrd/planeacion.ht</w:t>
        </w:r>
      </w:hyperlink>
    </w:p>
    <w:p w:rsidR="00AE61BC" w:rsidRPr="00E2639C" w:rsidRDefault="00AE61BC" w:rsidP="00E2639C">
      <w:pPr>
        <w:pStyle w:val="Prrafodelista"/>
        <w:ind w:left="735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E61BC" w:rsidRPr="00E2639C" w:rsidRDefault="00E2639C" w:rsidP="00E2639C">
      <w:pPr>
        <w:pStyle w:val="Prrafodelista"/>
        <w:ind w:left="735"/>
        <w:rPr>
          <w:rFonts w:ascii="Arial" w:hAnsi="Arial" w:cs="Arial"/>
          <w:color w:val="0D0D0D" w:themeColor="text1" w:themeTint="F2"/>
          <w:sz w:val="24"/>
          <w:szCs w:val="24"/>
        </w:rPr>
      </w:pP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>Valoración de un congreso: Consultado el día 4 de Abril</w:t>
      </w:r>
      <w:r w:rsidR="00AE61BC"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 del 2017. Autor: Salvador </w:t>
      </w: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>Cárdenas</w:t>
      </w:r>
      <w:r w:rsidR="00AE61BC" w:rsidRPr="00E2639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F46EF2" w:rsidRPr="00E2639C" w:rsidRDefault="00E2639C" w:rsidP="00E2639C">
      <w:pPr>
        <w:rPr>
          <w:rFonts w:ascii="Arial" w:hAnsi="Arial" w:cs="Arial"/>
          <w:sz w:val="24"/>
          <w:szCs w:val="24"/>
        </w:rPr>
      </w:pP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</w:t>
      </w:r>
      <w:r w:rsidRPr="00E2639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hyperlink r:id="rId8" w:history="1">
        <w:r w:rsidRPr="00E2639C">
          <w:rPr>
            <w:rStyle w:val="Hipervnculo"/>
            <w:rFonts w:ascii="Arial" w:hAnsi="Arial" w:cs="Arial"/>
            <w:color w:val="0D0D0D" w:themeColor="text1" w:themeTint="F2"/>
            <w:sz w:val="24"/>
            <w:szCs w:val="24"/>
            <w:u w:val="none"/>
          </w:rPr>
          <w:t>http://www.eumed.net/rev/tudes/12/lph.html</w:t>
        </w:r>
      </w:hyperlink>
    </w:p>
    <w:p w:rsidR="00E2639C" w:rsidRPr="00E2639C" w:rsidRDefault="00E2639C" w:rsidP="00E263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2639C">
        <w:rPr>
          <w:rFonts w:ascii="Arial" w:hAnsi="Arial" w:cs="Arial"/>
          <w:sz w:val="24"/>
          <w:szCs w:val="24"/>
        </w:rPr>
        <w:t xml:space="preserve">Datos Geográficos: Consultado el día 4 de Abril del 2017. Autor: Alejandro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2639C">
        <w:rPr>
          <w:rFonts w:ascii="Arial" w:hAnsi="Arial" w:cs="Arial"/>
          <w:sz w:val="24"/>
          <w:szCs w:val="24"/>
        </w:rPr>
        <w:t>Gutiérrez y Cristian Gould.</w:t>
      </w:r>
    </w:p>
    <w:p w:rsidR="00E2639C" w:rsidRPr="00E2639C" w:rsidRDefault="00E2639C" w:rsidP="00E2639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639C">
        <w:rPr>
          <w:rFonts w:ascii="Arial" w:hAnsi="Arial" w:cs="Arial"/>
          <w:sz w:val="24"/>
          <w:szCs w:val="24"/>
        </w:rPr>
        <w:t>http://sinat.semarnat.gob.mx/dgiraDocs/documentos/camp/estudios/2006/04CA2006UD085.pdf</w:t>
      </w:r>
    </w:p>
    <w:sectPr w:rsidR="00E2639C" w:rsidRPr="00E2639C" w:rsidSect="00CB5AE4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40B14"/>
    <w:multiLevelType w:val="hybridMultilevel"/>
    <w:tmpl w:val="DC68FE9A"/>
    <w:lvl w:ilvl="0" w:tplc="CBDAF9C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5856"/>
    <w:multiLevelType w:val="hybridMultilevel"/>
    <w:tmpl w:val="083071C2"/>
    <w:lvl w:ilvl="0" w:tplc="ADA633D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F2"/>
    <w:rsid w:val="000467C3"/>
    <w:rsid w:val="00053C4B"/>
    <w:rsid w:val="001079ED"/>
    <w:rsid w:val="00367271"/>
    <w:rsid w:val="00474DB4"/>
    <w:rsid w:val="00533F91"/>
    <w:rsid w:val="007925E8"/>
    <w:rsid w:val="00A73135"/>
    <w:rsid w:val="00AE61BC"/>
    <w:rsid w:val="00CB5AE4"/>
    <w:rsid w:val="00E2639C"/>
    <w:rsid w:val="00E806C4"/>
    <w:rsid w:val="00F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5B032-304E-43AF-A35F-3B2C129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E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med.net/rev/tudes/12/lp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nlibre.org/documentos/idrd/planeacion.h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Vic14</b:Tag>
    <b:SourceType>Report</b:SourceType>
    <b:Guid>{E4E373C2-4811-47EB-AD9A-288312ED1322}</b:Guid>
    <b:Author>
      <b:Author>
        <b:Corporate>Victor Gutierrez</b:Corporate>
      </b:Author>
    </b:Author>
    <b:Title>Manual de Congresos y Convenciones</b:Title>
    <b:Year>2014</b:Year>
    <b:RefOrder>3</b:RefOrder>
  </b:Source>
  <b:Source>
    <b:Tag>ger16</b:Tag>
    <b:SourceType>Report</b:SourceType>
    <b:Guid>{74C76991-F4B1-43BE-A7DC-622869DCC436}</b:Guid>
    <b:Author>
      <b:Author>
        <b:NameList>
          <b:Person>
            <b:Last>aldrete</b:Last>
            <b:First>gerardo</b:First>
          </b:Person>
        </b:NameList>
      </b:Author>
    </b:Author>
    <b:Title>eventoclick</b:Title>
    <b:Year>2016</b:Year>
    <b:RefOrder>4</b:RefOrder>
  </b:Source>
  <b:Source>
    <b:Tag>Mar12</b:Tag>
    <b:SourceType>Report</b:SourceType>
    <b:Guid>{7F8588AA-07A2-45EB-936F-7D3DA557CBB8}</b:Guid>
    <b:Author>
      <b:Author>
        <b:NameList>
          <b:Person>
            <b:Last>Perez</b:Last>
            <b:First>Margarita</b:First>
          </b:Person>
        </b:NameList>
      </b:Author>
    </b:Author>
    <b:Title>Antecedentes Historicos de congresos y convenciones</b:Title>
    <b:Year>2012</b:Year>
    <b:RefOrder>2</b:RefOrder>
  </b:Source>
  <b:Source>
    <b:Tag>Edg15</b:Tag>
    <b:SourceType>Report</b:SourceType>
    <b:Guid>{054DE417-8C60-4BB5-90FD-D68AA3363FED}</b:Guid>
    <b:Author>
      <b:Author>
        <b:NameList>
          <b:Person>
            <b:Last>Rosales</b:Last>
            <b:First>Edgar</b:First>
          </b:Person>
        </b:NameList>
      </b:Author>
    </b:Author>
    <b:Title>Facultad de Turismo</b:Title>
    <b:Year>2015</b:Year>
    <b:RefOrder>1</b:RefOrder>
  </b:Source>
</b:Sources>
</file>

<file path=customXml/itemProps1.xml><?xml version="1.0" encoding="utf-8"?>
<ds:datastoreItem xmlns:ds="http://schemas.openxmlformats.org/officeDocument/2006/customXml" ds:itemID="{96D6335F-51BE-4FC9-9EC8-8A770079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Solca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6</cp:revision>
  <dcterms:created xsi:type="dcterms:W3CDTF">2017-02-28T21:56:00Z</dcterms:created>
  <dcterms:modified xsi:type="dcterms:W3CDTF">2017-04-05T20:08:00Z</dcterms:modified>
</cp:coreProperties>
</file>