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F2" w:rsidRPr="00F46EF2" w:rsidRDefault="00F46EF2" w:rsidP="00F46EF2">
      <w:pPr>
        <w:jc w:val="center"/>
        <w:rPr>
          <w:color w:val="FF0000"/>
          <w:sz w:val="44"/>
          <w:szCs w:val="44"/>
        </w:rPr>
      </w:pPr>
      <w:r w:rsidRPr="00F46EF2">
        <w:rPr>
          <w:color w:val="FF0000"/>
          <w:sz w:val="44"/>
          <w:szCs w:val="44"/>
        </w:rPr>
        <w:t xml:space="preserve">ACTIVIDAD </w:t>
      </w:r>
      <w:r w:rsidR="00204B38">
        <w:rPr>
          <w:color w:val="FF0000"/>
          <w:sz w:val="44"/>
          <w:szCs w:val="44"/>
        </w:rPr>
        <w:t>INTEGRADORA</w:t>
      </w:r>
    </w:p>
    <w:p w:rsidR="00F46EF2" w:rsidRPr="00F46EF2" w:rsidRDefault="00222B26" w:rsidP="00F46EF2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UNIDAD 2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Nombre del alumno:</w:t>
      </w:r>
    </w:p>
    <w:p w:rsidR="00F46EF2" w:rsidRPr="00F46EF2" w:rsidRDefault="00F46EF2" w:rsidP="00F46EF2">
      <w:pPr>
        <w:jc w:val="center"/>
        <w:rPr>
          <w:sz w:val="44"/>
          <w:szCs w:val="44"/>
        </w:rPr>
      </w:pPr>
      <w:r w:rsidRPr="00F46EF2">
        <w:rPr>
          <w:sz w:val="44"/>
          <w:szCs w:val="44"/>
        </w:rPr>
        <w:t>Mariam Sarahi Ledezma García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Matricula:</w:t>
      </w:r>
    </w:p>
    <w:p w:rsidR="00F46EF2" w:rsidRPr="00F46EF2" w:rsidRDefault="00F46EF2" w:rsidP="00F46EF2">
      <w:pPr>
        <w:jc w:val="center"/>
        <w:rPr>
          <w:sz w:val="44"/>
          <w:szCs w:val="44"/>
        </w:rPr>
      </w:pPr>
      <w:r w:rsidRPr="00F46EF2">
        <w:rPr>
          <w:sz w:val="44"/>
          <w:szCs w:val="44"/>
        </w:rPr>
        <w:t>LTU785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Carrera:</w:t>
      </w:r>
    </w:p>
    <w:p w:rsidR="00F46EF2" w:rsidRPr="00F46EF2" w:rsidRDefault="00F46EF2" w:rsidP="00F46EF2">
      <w:pPr>
        <w:jc w:val="center"/>
        <w:rPr>
          <w:sz w:val="44"/>
          <w:szCs w:val="44"/>
        </w:rPr>
      </w:pPr>
      <w:r w:rsidRPr="00F46EF2">
        <w:rPr>
          <w:sz w:val="44"/>
          <w:szCs w:val="44"/>
        </w:rPr>
        <w:t>Turismo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Semestre:</w:t>
      </w:r>
    </w:p>
    <w:p w:rsidR="00F46EF2" w:rsidRPr="00F46EF2" w:rsidRDefault="00F46EF2" w:rsidP="00F46EF2">
      <w:pPr>
        <w:jc w:val="center"/>
        <w:rPr>
          <w:sz w:val="44"/>
          <w:szCs w:val="44"/>
        </w:rPr>
      </w:pPr>
      <w:r w:rsidRPr="00F46EF2">
        <w:rPr>
          <w:sz w:val="44"/>
          <w:szCs w:val="44"/>
        </w:rPr>
        <w:t>Octavo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Materia:</w:t>
      </w:r>
    </w:p>
    <w:p w:rsidR="007925E8" w:rsidRDefault="00F46EF2" w:rsidP="00F46EF2">
      <w:pPr>
        <w:jc w:val="center"/>
        <w:rPr>
          <w:sz w:val="44"/>
          <w:szCs w:val="44"/>
        </w:rPr>
      </w:pPr>
      <w:r w:rsidRPr="00F46EF2">
        <w:rPr>
          <w:sz w:val="44"/>
          <w:szCs w:val="44"/>
        </w:rPr>
        <w:t>Administración de Congresos y Convenciones</w:t>
      </w:r>
    </w:p>
    <w:p w:rsidR="00F46EF2" w:rsidRDefault="00F46EF2" w:rsidP="00F46EF2">
      <w:pPr>
        <w:jc w:val="center"/>
        <w:rPr>
          <w:sz w:val="44"/>
          <w:szCs w:val="44"/>
        </w:rPr>
      </w:pPr>
    </w:p>
    <w:p w:rsidR="00222B26" w:rsidRPr="00222B26" w:rsidRDefault="00CB5AE4" w:rsidP="00222B26">
      <w:pPr>
        <w:jc w:val="center"/>
        <w:rPr>
          <w:sz w:val="44"/>
          <w:szCs w:val="44"/>
        </w:rPr>
      </w:pPr>
      <w:r w:rsidRPr="00CB5AE4">
        <w:rPr>
          <w:noProof/>
          <w:sz w:val="44"/>
          <w:szCs w:val="44"/>
          <w:lang w:eastAsia="es-MX"/>
        </w:rPr>
        <w:drawing>
          <wp:inline distT="0" distB="0" distL="0" distR="0">
            <wp:extent cx="5612130" cy="1787020"/>
            <wp:effectExtent l="0" t="0" r="7620" b="3810"/>
            <wp:docPr id="1" name="Imagen 1" descr="Resultado de imagen para EVENTOS Y CONVEN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VENTOS Y CONVENCIO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B26" w:rsidRDefault="00222B26" w:rsidP="00222B26">
      <w:pPr>
        <w:jc w:val="both"/>
        <w:rPr>
          <w:sz w:val="24"/>
          <w:szCs w:val="24"/>
        </w:rPr>
      </w:pPr>
    </w:p>
    <w:p w:rsidR="00222B26" w:rsidRDefault="00222B26" w:rsidP="00222B2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61F52">
        <w:rPr>
          <w:rFonts w:ascii="Arial" w:hAnsi="Arial" w:cs="Arial"/>
          <w:b/>
          <w:color w:val="FF0000"/>
          <w:sz w:val="36"/>
          <w:szCs w:val="36"/>
        </w:rPr>
        <w:lastRenderedPageBreak/>
        <w:t>Instrucciones:</w:t>
      </w:r>
    </w:p>
    <w:p w:rsidR="00204B38" w:rsidRDefault="00204B38" w:rsidP="00204B38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204B38">
        <w:rPr>
          <w:rFonts w:ascii="Arial" w:hAnsi="Arial" w:cs="Arial"/>
          <w:color w:val="0D0D0D" w:themeColor="text1" w:themeTint="F2"/>
          <w:sz w:val="24"/>
          <w:szCs w:val="24"/>
        </w:rPr>
        <w:t>Defi</w:t>
      </w:r>
      <w:r>
        <w:rPr>
          <w:rFonts w:ascii="Arial" w:hAnsi="Arial" w:cs="Arial"/>
          <w:color w:val="0D0D0D" w:themeColor="text1" w:themeTint="F2"/>
          <w:sz w:val="24"/>
          <w:szCs w:val="24"/>
        </w:rPr>
        <w:t>nir las actividades operativas d</w:t>
      </w:r>
      <w:r w:rsidRPr="00204B38">
        <w:rPr>
          <w:rFonts w:ascii="Arial" w:hAnsi="Arial" w:cs="Arial"/>
          <w:color w:val="0D0D0D" w:themeColor="text1" w:themeTint="F2"/>
          <w:sz w:val="24"/>
          <w:szCs w:val="24"/>
        </w:rPr>
        <w:t>e un congreso o convención explicando por qué medios se realizan la publicidad, que aspectos deben considerarse en la recepción, hospedaje y transporte de los participantes, así como la importancia de actividades en el registro y eventos como exhibiciones actividades sociales de los grupos</w:t>
      </w:r>
    </w:p>
    <w:p w:rsidR="001C740E" w:rsidRPr="001C740E" w:rsidRDefault="001C740E" w:rsidP="001C740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C740E">
        <w:rPr>
          <w:rFonts w:ascii="Arial" w:hAnsi="Arial" w:cs="Arial"/>
          <w:b/>
          <w:color w:val="FF0000"/>
          <w:sz w:val="36"/>
          <w:szCs w:val="36"/>
        </w:rPr>
        <w:t>Actividad..</w:t>
      </w: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,</w:t>
      </w:r>
      <w:proofErr w:type="gramEnd"/>
    </w:p>
    <w:p w:rsidR="001C740E" w:rsidRPr="001C740E" w:rsidRDefault="001C740E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>Un OPC puede tener varios actos a la vez y cada acto tiene que tener su propio comité organizador</w:t>
      </w:r>
    </w:p>
    <w:p w:rsidR="001C740E" w:rsidRPr="001C740E" w:rsidRDefault="001C740E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>Constitución del comité:</w:t>
      </w:r>
    </w:p>
    <w:p w:rsidR="001C740E" w:rsidRPr="001C740E" w:rsidRDefault="001C740E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>Presidente</w:t>
      </w:r>
    </w:p>
    <w:p w:rsidR="001C740E" w:rsidRPr="001C740E" w:rsidRDefault="001C740E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>Vicepresidente</w:t>
      </w:r>
    </w:p>
    <w:p w:rsidR="001C740E" w:rsidRPr="001C740E" w:rsidRDefault="001C740E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>Secretaria (parte logística y operativa</w:t>
      </w:r>
    </w:p>
    <w:p w:rsidR="001C740E" w:rsidRPr="001C740E" w:rsidRDefault="001C740E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>Subcomités o comités técnicos (debe haber tantos comités como necesidades tenga la reunión como: azafatas, programa social, cenas, viajes, catering, salas, ponentes, etc. Hay dos comités importantísimos:</w:t>
      </w:r>
    </w:p>
    <w:p w:rsidR="001C740E" w:rsidRPr="001C740E" w:rsidRDefault="001C740E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>Comité Científico (seleccionado por la entidad que convoca)</w:t>
      </w:r>
    </w:p>
    <w:p w:rsidR="001C740E" w:rsidRPr="001C740E" w:rsidRDefault="001C740E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>Comité de Honor (es la selección de unas personas para que den prestigio y credibilidad al acto)</w:t>
      </w:r>
    </w:p>
    <w:p w:rsidR="001C740E" w:rsidRPr="001C740E" w:rsidRDefault="001C740E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>Cada proyecto tiene una organización interna, de medios, económica y técnica y cada una tiene recursos personales.</w:t>
      </w:r>
    </w:p>
    <w:p w:rsidR="001C740E" w:rsidRPr="001C740E" w:rsidRDefault="001C740E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 xml:space="preserve">Cuando se organiza </w:t>
      </w:r>
      <w:r w:rsidR="00080070">
        <w:rPr>
          <w:rFonts w:ascii="Arial" w:hAnsi="Arial" w:cs="Arial"/>
          <w:color w:val="0D0D0D" w:themeColor="text1" w:themeTint="F2"/>
          <w:sz w:val="24"/>
          <w:szCs w:val="24"/>
        </w:rPr>
        <w:t xml:space="preserve">un evento o </w:t>
      </w:r>
      <w:r w:rsidR="003651DD">
        <w:rPr>
          <w:rFonts w:ascii="Arial" w:hAnsi="Arial" w:cs="Arial"/>
          <w:color w:val="0D0D0D" w:themeColor="text1" w:themeTint="F2"/>
          <w:sz w:val="24"/>
          <w:szCs w:val="24"/>
        </w:rPr>
        <w:t>convención</w:t>
      </w: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 xml:space="preserve"> hay una serie de cualidades que se van a ver sometidas a prueba en el desarrollo organizativo, son las siguientes:</w:t>
      </w:r>
    </w:p>
    <w:p w:rsidR="001C740E" w:rsidRPr="001C740E" w:rsidRDefault="00B76227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Imaginación, Previsión, Paciencia, Flexibilidad, Orden, Energía, Adaptabilidad, Buen humor, </w:t>
      </w:r>
      <w:r w:rsidR="001C740E" w:rsidRPr="001C740E">
        <w:rPr>
          <w:rFonts w:ascii="Arial" w:hAnsi="Arial" w:cs="Arial"/>
          <w:color w:val="0D0D0D" w:themeColor="text1" w:themeTint="F2"/>
          <w:sz w:val="24"/>
          <w:szCs w:val="24"/>
        </w:rPr>
        <w:t>Condiciones físicas</w:t>
      </w:r>
      <w:r>
        <w:rPr>
          <w:rFonts w:ascii="Arial" w:hAnsi="Arial" w:cs="Arial"/>
          <w:color w:val="0D0D0D" w:themeColor="text1" w:themeTint="F2"/>
          <w:sz w:val="24"/>
          <w:szCs w:val="24"/>
        </w:rPr>
        <w:t>.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</w:rPr>
          <w:id w:val="1838572219"/>
          <w:citation/>
        </w:sdtPr>
        <w:sdtContent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begin"/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instrText xml:space="preserve"> CITATION Mar15 \l 2058 </w:instrTex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separate"/>
          </w:r>
          <w:r w:rsid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 xml:space="preserve"> </w:t>
          </w:r>
          <w:r w:rsidR="008C4F27" w:rsidRP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>(Moreno, 2015)</w: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end"/>
          </w:r>
        </w:sdtContent>
      </w:sdt>
    </w:p>
    <w:p w:rsidR="001C740E" w:rsidRPr="003651DD" w:rsidRDefault="001C740E" w:rsidP="003651DD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3651DD">
        <w:rPr>
          <w:rFonts w:ascii="Arial" w:hAnsi="Arial" w:cs="Arial"/>
          <w:b/>
          <w:color w:val="0D0D0D" w:themeColor="text1" w:themeTint="F2"/>
          <w:sz w:val="24"/>
          <w:szCs w:val="24"/>
        </w:rPr>
        <w:t>El organigrama interno a nivel general está determinado por:</w:t>
      </w:r>
    </w:p>
    <w:p w:rsidR="001C740E" w:rsidRPr="001C740E" w:rsidRDefault="00B76227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E</w:t>
      </w:r>
      <w:r w:rsidR="001C740E" w:rsidRPr="001C740E">
        <w:rPr>
          <w:rFonts w:ascii="Arial" w:hAnsi="Arial" w:cs="Arial"/>
          <w:color w:val="0D0D0D" w:themeColor="text1" w:themeTint="F2"/>
          <w:sz w:val="24"/>
          <w:szCs w:val="24"/>
        </w:rPr>
        <w:t xml:space="preserve">l </w:t>
      </w: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>organizador:</w:t>
      </w:r>
      <w:r w:rsidR="001C740E" w:rsidRPr="001C740E">
        <w:rPr>
          <w:rFonts w:ascii="Arial" w:hAnsi="Arial" w:cs="Arial"/>
          <w:color w:val="0D0D0D" w:themeColor="text1" w:themeTint="F2"/>
          <w:sz w:val="24"/>
          <w:szCs w:val="24"/>
        </w:rPr>
        <w:t xml:space="preserve"> es el que convoca, transmitiendo a un profesional las necesidades de llevarla a cabo, esta entidad se llama OPC, que asume todos los “roles” en la organización, asume responsabilidades de cobros, de pagos y de gestión. El OPC debe estructurarse en cada uno de sus proyectos son comités organizadores o de planteamiento y comités técnicos específicos en función de la dimensión del evento.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</w:rPr>
          <w:id w:val="308908276"/>
          <w:citation/>
        </w:sdtPr>
        <w:sdtContent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begin"/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instrText xml:space="preserve"> CITATION Mar15 \l 2058 </w:instrTex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separate"/>
          </w:r>
          <w:r w:rsid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 xml:space="preserve"> </w:t>
          </w:r>
          <w:r w:rsidR="008C4F27" w:rsidRP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>(Moreno, 2015)</w: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end"/>
          </w:r>
        </w:sdtContent>
      </w:sdt>
    </w:p>
    <w:p w:rsidR="00080070" w:rsidRDefault="00080070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80070" w:rsidRDefault="00080070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1C740E" w:rsidRPr="001C740E" w:rsidRDefault="00080070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E</w:t>
      </w:r>
      <w:r w:rsidR="001C740E" w:rsidRPr="001C740E">
        <w:rPr>
          <w:rFonts w:ascii="Arial" w:hAnsi="Arial" w:cs="Arial"/>
          <w:color w:val="0D0D0D" w:themeColor="text1" w:themeTint="F2"/>
          <w:sz w:val="24"/>
          <w:szCs w:val="24"/>
        </w:rPr>
        <w:t xml:space="preserve">l </w:t>
      </w: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>director:</w:t>
      </w:r>
      <w:r w:rsidR="001C740E" w:rsidRPr="001C740E">
        <w:rPr>
          <w:rFonts w:ascii="Arial" w:hAnsi="Arial" w:cs="Arial"/>
          <w:color w:val="0D0D0D" w:themeColor="text1" w:themeTint="F2"/>
          <w:sz w:val="24"/>
          <w:szCs w:val="24"/>
        </w:rPr>
        <w:t xml:space="preserve"> la función de director recae sobre el presidente o junta elegida del comité organizador y asume la responsabilidad de los contenidos y objetivos del evento.</w:t>
      </w:r>
    </w:p>
    <w:p w:rsidR="001C740E" w:rsidRPr="001C740E" w:rsidRDefault="001C740E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>Es el nexo de conexión con toda la parte operativa del proyecto, por consiguiente debe planificar el desarrollo y coordinación en toda su dimensión</w:t>
      </w:r>
    </w:p>
    <w:p w:rsidR="001C740E" w:rsidRPr="001C740E" w:rsidRDefault="001C740E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>Es responsable de que se consigan los objetivos planteados</w:t>
      </w:r>
    </w:p>
    <w:p w:rsidR="001C740E" w:rsidRPr="001C740E" w:rsidRDefault="001C740E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>En su mano está la firma del pacto de colaboración con la entidad que convoca a través del documento básico o memoria descriptiva</w:t>
      </w:r>
      <w:r w:rsidR="008C4F27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</w:rPr>
          <w:id w:val="1078564376"/>
          <w:citation/>
        </w:sdtPr>
        <w:sdtContent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begin"/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instrText xml:space="preserve"> CITATION Fra17 \l 2058 </w:instrTex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separate"/>
          </w:r>
          <w:r w:rsid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 xml:space="preserve"> </w:t>
          </w:r>
          <w:r w:rsidR="008C4F27" w:rsidRP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>(Reyna, 2017)</w: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end"/>
          </w:r>
        </w:sdtContent>
      </w:sdt>
    </w:p>
    <w:p w:rsidR="001C740E" w:rsidRPr="001C740E" w:rsidRDefault="001C740E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>Comités técnicos:</w:t>
      </w:r>
    </w:p>
    <w:p w:rsidR="001C740E" w:rsidRPr="001C740E" w:rsidRDefault="001C740E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 xml:space="preserve">Comité científico: elegido por la entidad que convoca, está formado por un grupo de personas técnicas o expertas en el tema base de la reunión, su responsabilidad consiste en dar forma al programa de actividades tratando de conseguir los objetivos; también sugiere los posibles ponentes y las vías de contacto con ellos, el comité organizador es el que contacta con el ponente y marca las pautas de su intervención, es su responsabilidad dejar en manos del comité organizador la gestión y procedimientos del ponente y sus ponencias, como: tiempo disponible, extensión del documento escrito, el idioma, el tipo de auditorio, el nivel cultural la </w:t>
      </w:r>
      <w:r w:rsidR="003651DD" w:rsidRPr="001C740E">
        <w:rPr>
          <w:rFonts w:ascii="Arial" w:hAnsi="Arial" w:cs="Arial"/>
          <w:color w:val="0D0D0D" w:themeColor="text1" w:themeTint="F2"/>
          <w:sz w:val="24"/>
          <w:szCs w:val="24"/>
        </w:rPr>
        <w:t>especiación</w:t>
      </w: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>, el material necesario para su exposición, etc.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</w:rPr>
          <w:id w:val="808140889"/>
          <w:citation/>
        </w:sdtPr>
        <w:sdtContent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begin"/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instrText xml:space="preserve">CITATION Fra17 \n  \l 2058 </w:instrTex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separate"/>
          </w:r>
          <w:r w:rsid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 xml:space="preserve"> </w:t>
          </w:r>
          <w:r w:rsidR="008C4F27" w:rsidRP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>(Organizacion de un congreso, 2017)</w: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end"/>
          </w:r>
        </w:sdtContent>
      </w:sdt>
    </w:p>
    <w:p w:rsidR="001C740E" w:rsidRDefault="001C740E" w:rsidP="001C740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C740E">
        <w:rPr>
          <w:rFonts w:ascii="Arial" w:hAnsi="Arial" w:cs="Arial"/>
          <w:color w:val="0D0D0D" w:themeColor="text1" w:themeTint="F2"/>
          <w:sz w:val="24"/>
          <w:szCs w:val="24"/>
        </w:rPr>
        <w:t>Comité de honor: está formado por un grupo de personas nombradas por el comité organizador, cuya función es meramente honorífica, dando credibilidad o beneplácito al acto; las personas que aceptan ser miembros del comité deben aceptarlo por medio de carta o comunicado y pueden asistir o no al evento</w:t>
      </w:r>
      <w:r w:rsidR="003651DD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</w:rPr>
          <w:id w:val="-1798908303"/>
          <w:citation/>
        </w:sdtPr>
        <w:sdtContent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begin"/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instrText xml:space="preserve">CITATION Fra17 \n  \l 2058 </w:instrTex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separate"/>
          </w:r>
          <w:r w:rsid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 xml:space="preserve"> </w:t>
          </w:r>
          <w:r w:rsidR="008C4F27" w:rsidRP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>(Organizacion de un congreso, 2017)</w: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end"/>
          </w:r>
        </w:sdtContent>
      </w:sdt>
    </w:p>
    <w:p w:rsidR="003651DD" w:rsidRDefault="003651DD" w:rsidP="003651D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Se recomienda pedir asistencia a un diseña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dor gráfico para la elaboración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del material publicitario del evento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y las aplicaciones necesarias, p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 xml:space="preserve">ueden elaborarse documentos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de referencia con los elementos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 xml:space="preserve">que se espera que contenga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el diseño para que el diseñador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pueda elaborar varias propuestas inicial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es de las que surgirá la imagen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final del congreso cuando sea s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ometida a votación en alguna de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las re</w:t>
      </w:r>
      <w:r>
        <w:rPr>
          <w:rFonts w:ascii="Arial" w:hAnsi="Arial" w:cs="Arial"/>
          <w:color w:val="0D0D0D" w:themeColor="text1" w:themeTint="F2"/>
          <w:sz w:val="24"/>
          <w:szCs w:val="24"/>
        </w:rPr>
        <w:t>uniones del comité organizador.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 xml:space="preserve"> Dentro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 xml:space="preserve"> de los requerimien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tos principales del congreso en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 xml:space="preserve">este rubro se encuentran: logo, hojas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membretadas, folders, gafetes,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 xml:space="preserve"> trípticos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, carteles, constancia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s, lonas, entre otros productos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gráficos.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</w:rPr>
          <w:id w:val="-20322949"/>
          <w:citation/>
        </w:sdtPr>
        <w:sdtContent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begin"/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instrText xml:space="preserve">CITATION Fra17 \n  \l 2058 </w:instrTex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separate"/>
          </w:r>
          <w:r w:rsid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 xml:space="preserve"> </w:t>
          </w:r>
          <w:r w:rsidR="008C4F27" w:rsidRP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>(Organizacion de un congreso, 2017)</w: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end"/>
          </w:r>
        </w:sdtContent>
      </w:sdt>
    </w:p>
    <w:p w:rsidR="003651DD" w:rsidRDefault="003651DD" w:rsidP="003651D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Los productos del congreso deberán in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cluir los logos institucionales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 xml:space="preserve">y de los patrocinadores.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La publicidad elaborada para el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congreso se puede exponer en centros de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actividad en las instituciones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relevantes y enviarse a cola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boradores externos para que los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distribuyan en sus entidades a trav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és del correo ordinario, correo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electrónico, inserciones en páginas rel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evantes y redes sociales. Estas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aplicaciones deben ser simples, lla</w:t>
      </w:r>
      <w:r>
        <w:rPr>
          <w:rFonts w:ascii="Arial" w:hAnsi="Arial" w:cs="Arial"/>
          <w:color w:val="0D0D0D" w:themeColor="text1" w:themeTint="F2"/>
          <w:sz w:val="24"/>
          <w:szCs w:val="24"/>
        </w:rPr>
        <w:t>mativas, concisas, informativas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 xml:space="preserve"> y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 xml:space="preserve"> representativas del evento.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</w:rPr>
          <w:id w:val="-669723639"/>
          <w:citation/>
        </w:sdtPr>
        <w:sdtContent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begin"/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instrText xml:space="preserve"> CITATION Fra17 \l 2058 </w:instrTex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separate"/>
          </w:r>
          <w:r w:rsid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 xml:space="preserve"> </w:t>
          </w:r>
          <w:r w:rsidR="008C4F27" w:rsidRP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>(Reyna, 2017)</w: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end"/>
          </w:r>
        </w:sdtContent>
      </w:sdt>
      <w:sdt>
        <w:sdtPr>
          <w:rPr>
            <w:rFonts w:ascii="Arial" w:hAnsi="Arial" w:cs="Arial"/>
            <w:color w:val="0D0D0D" w:themeColor="text1" w:themeTint="F2"/>
            <w:sz w:val="24"/>
            <w:szCs w:val="24"/>
          </w:rPr>
          <w:id w:val="-531263811"/>
          <w:citation/>
        </w:sdtPr>
        <w:sdtContent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begin"/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instrText xml:space="preserve"> CITATION dia13 \l 2058 </w:instrTex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separate"/>
          </w:r>
          <w:r w:rsid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 xml:space="preserve"> </w:t>
          </w:r>
          <w:r w:rsidR="008C4F27" w:rsidRP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>(carrillo, 2013)</w: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end"/>
          </w:r>
        </w:sdtContent>
      </w:sdt>
    </w:p>
    <w:p w:rsidR="003651DD" w:rsidRDefault="003651DD" w:rsidP="003651D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 xml:space="preserve">En en registro: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Se designará una comisión para el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proceso de registro que deberá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conocer los recibos de registro que se elaboraron previamente. El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día de mayor actividad para esta comisión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es el día de inicio del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 xml:space="preserve">congreso. Para ello deberá colocarse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la mesa de registro antes de la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hora de inicio y delegarse responsabilidade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s a cada uno de los integrantes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de la comisión; por ejem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plo, algunos deberán encargarse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 xml:space="preserve">de atender a los asistentes con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pre regi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stro; otros a los asistentes sin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pre registro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; algunos harán la entr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ega del paquete de inscripción;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otros llevarán el control de recibos y paquet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es, llenarán formas, entregarán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facturas; otros serán cajeros.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</w:rPr>
          <w:id w:val="1182013310"/>
          <w:citation/>
        </w:sdtPr>
        <w:sdtContent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begin"/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instrText xml:space="preserve"> CITATION dia13 \l 2058 </w:instrTex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separate"/>
          </w:r>
          <w:r w:rsid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 xml:space="preserve"> </w:t>
          </w:r>
          <w:r w:rsidR="008C4F27" w:rsidRP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>(carrillo, 2013)</w: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end"/>
          </w:r>
        </w:sdtContent>
      </w:sdt>
    </w:p>
    <w:p w:rsidR="008C4F27" w:rsidRDefault="003651DD" w:rsidP="003651D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En el hospedaje: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El alojamiento de los participantes no es respo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nsabilidad de los organizadores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(con la excepción de los confere</w:t>
      </w:r>
      <w:r>
        <w:rPr>
          <w:rFonts w:ascii="Arial" w:hAnsi="Arial" w:cs="Arial"/>
          <w:color w:val="0D0D0D" w:themeColor="text1" w:themeTint="F2"/>
          <w:sz w:val="24"/>
          <w:szCs w:val="24"/>
        </w:rPr>
        <w:t>ncistas magistrales invitados);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 xml:space="preserve"> sin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 xml:space="preserve"> embargo, se sugiere compila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r un listado con los sitios que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ofrezcan tarifas razonables o descuentos especiale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s que deben ser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gestionados por el comité organizado</w:t>
      </w:r>
      <w:r>
        <w:rPr>
          <w:rFonts w:ascii="Arial" w:hAnsi="Arial" w:cs="Arial"/>
          <w:color w:val="0D0D0D" w:themeColor="text1" w:themeTint="F2"/>
          <w:sz w:val="24"/>
          <w:szCs w:val="24"/>
        </w:rPr>
        <w:t>r directamente con los hoteles.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 xml:space="preserve"> Es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 xml:space="preserve"> recomendable comparar las opcion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es ofrecidas por los hoteles ya </w:t>
      </w:r>
      <w:r w:rsidRPr="003651DD">
        <w:rPr>
          <w:rFonts w:ascii="Arial" w:hAnsi="Arial" w:cs="Arial"/>
          <w:color w:val="0D0D0D" w:themeColor="text1" w:themeTint="F2"/>
          <w:sz w:val="24"/>
          <w:szCs w:val="24"/>
        </w:rPr>
        <w:t>que hay algunos que ofrecen una habitación gratis por cada cierto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</w:rPr>
          <w:id w:val="194514003"/>
          <w:citation/>
        </w:sdtPr>
        <w:sdtContent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begin"/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instrText xml:space="preserve"> CITATION dia13 \l 2058 </w:instrTex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separate"/>
          </w:r>
          <w:r w:rsid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 xml:space="preserve"> </w:t>
          </w:r>
          <w:r w:rsidR="008C4F27" w:rsidRPr="008C4F27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>(carrillo, 2013)</w:t>
          </w:r>
          <w:r w:rsidR="008C4F27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end"/>
          </w:r>
        </w:sdtContent>
      </w:sdt>
    </w:p>
    <w:p w:rsidR="008C4F27" w:rsidRDefault="008C4F27" w:rsidP="003651D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En el transporte: Los grandes congresos y convenciones </w:t>
      </w:r>
      <w:r w:rsidR="00901BBE">
        <w:rPr>
          <w:rFonts w:ascii="Arial" w:hAnsi="Arial" w:cs="Arial"/>
          <w:color w:val="0D0D0D" w:themeColor="text1" w:themeTint="F2"/>
          <w:sz w:val="24"/>
          <w:szCs w:val="24"/>
        </w:rPr>
        <w:t>sobre todo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los </w:t>
      </w:r>
      <w:r w:rsidR="00901BBE">
        <w:rPr>
          <w:rFonts w:ascii="Arial" w:hAnsi="Arial" w:cs="Arial"/>
          <w:color w:val="0D0D0D" w:themeColor="text1" w:themeTint="F2"/>
          <w:sz w:val="24"/>
          <w:szCs w:val="24"/>
        </w:rPr>
        <w:t>internacionales,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requieren de un </w:t>
      </w:r>
      <w:r w:rsidR="00901BBE">
        <w:rPr>
          <w:rFonts w:ascii="Arial" w:hAnsi="Arial" w:cs="Arial"/>
          <w:color w:val="0D0D0D" w:themeColor="text1" w:themeTint="F2"/>
          <w:sz w:val="24"/>
          <w:szCs w:val="24"/>
        </w:rPr>
        <w:t xml:space="preserve">sistema de transporte efectivo y de buena calidad, para que los congresistas sean movilizados a los diferentes eventos del congreso. Existen ciudades muy complicadas en este sentido en donde los traslados pueden tomar demasiado tiempo o en donde el transporte público es de mala calidad o insuficiente, este factor también es determinante en la selección del destino dependiendo del tipo de congreso. 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</w:rPr>
          <w:id w:val="97832708"/>
          <w:citation/>
        </w:sdtPr>
        <w:sdtContent>
          <w:r w:rsidR="00901BBE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begin"/>
          </w:r>
          <w:r w:rsidR="00901BBE">
            <w:rPr>
              <w:rFonts w:ascii="Arial" w:hAnsi="Arial" w:cs="Arial"/>
              <w:color w:val="0D0D0D" w:themeColor="text1" w:themeTint="F2"/>
              <w:sz w:val="24"/>
              <w:szCs w:val="24"/>
            </w:rPr>
            <w:instrText xml:space="preserve">CITATION Vic14 \n  \l 2058 </w:instrText>
          </w:r>
          <w:r w:rsidR="00901BBE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separate"/>
          </w:r>
          <w:r w:rsidR="00901BBE" w:rsidRPr="00901BBE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>(Manual de Congresos y Convenciones, 2014)</w:t>
          </w:r>
          <w:r w:rsidR="00901BBE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end"/>
          </w:r>
        </w:sdtContent>
      </w:sdt>
    </w:p>
    <w:p w:rsidR="00901BBE" w:rsidRPr="00204B38" w:rsidRDefault="00901BBE" w:rsidP="003651D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Otros eventos sociales en Grupos : Aunque la mayor parte de estos eventos se pueden llevar a cabo desde otras ciudades es conveniente que el destino que se elija se pueda adaptar a cada una de las necesidades del evento , ya sea en cuestión de servicios audiovisuales , de traducción simultánea , montaje de exposiciones , equipo de cómputo , elaboración de señalización , entre otros , aunque en esta parte también es muy importante incluir que hoy en día el acceso de alta velocidad , ya que gran parte de los eventos de este tipo se basan en la transmisión de conferencias o de imágenes por este medio.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</w:rPr>
          <w:id w:val="-378860525"/>
          <w:citation/>
        </w:sdtPr>
        <w:sdtContent>
          <w:r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D0D0D" w:themeColor="text1" w:themeTint="F2"/>
              <w:sz w:val="24"/>
              <w:szCs w:val="24"/>
            </w:rPr>
            <w:instrText xml:space="preserve">CITATION Vic14 \n  \l 2058 </w:instrText>
          </w:r>
          <w:r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 xml:space="preserve"> </w:t>
          </w:r>
          <w:r w:rsidRPr="00901BBE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>(Manual de Congresos y Convenciones, 2014)</w:t>
          </w:r>
          <w:r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end"/>
          </w:r>
        </w:sdtContent>
      </w:sdt>
    </w:p>
    <w:p w:rsidR="00901BBE" w:rsidRDefault="00901BBE" w:rsidP="003651D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01BBE" w:rsidRDefault="00901BBE" w:rsidP="003651D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01BBE" w:rsidRDefault="00901BBE" w:rsidP="003651D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01BBE" w:rsidRDefault="00901BBE" w:rsidP="003651D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01BBE" w:rsidRDefault="00901BBE" w:rsidP="003651D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3651DD" w:rsidRDefault="00D61F52" w:rsidP="003651D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32"/>
          <w:szCs w:val="32"/>
        </w:rPr>
        <w:lastRenderedPageBreak/>
        <w:t>Bibliografía</w:t>
      </w:r>
      <w:r w:rsidRPr="00D61F52">
        <w:rPr>
          <w:rFonts w:ascii="Arial" w:hAnsi="Arial" w:cs="Arial"/>
          <w:b/>
          <w:color w:val="FF0000"/>
          <w:sz w:val="32"/>
          <w:szCs w:val="32"/>
        </w:rPr>
        <w:t>…</w:t>
      </w:r>
    </w:p>
    <w:p w:rsidR="00D61F52" w:rsidRDefault="00D61F52" w:rsidP="00D61F52">
      <w:pPr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CD1428">
        <w:rPr>
          <w:rFonts w:ascii="Arial" w:hAnsi="Arial" w:cs="Arial"/>
          <w:color w:val="0D0D0D" w:themeColor="text1" w:themeTint="F2"/>
          <w:sz w:val="24"/>
          <w:szCs w:val="24"/>
        </w:rPr>
        <w:t>El comité organizador, composición, funciones y tipos de comités: Fecha de Consul</w:t>
      </w:r>
      <w:r w:rsidR="008C4F27">
        <w:rPr>
          <w:rFonts w:ascii="Arial" w:hAnsi="Arial" w:cs="Arial"/>
          <w:color w:val="0D0D0D" w:themeColor="text1" w:themeTint="F2"/>
          <w:sz w:val="24"/>
          <w:szCs w:val="24"/>
        </w:rPr>
        <w:t>ta 20</w:t>
      </w:r>
      <w:r w:rsidRPr="00CD1428">
        <w:rPr>
          <w:rFonts w:ascii="Arial" w:hAnsi="Arial" w:cs="Arial"/>
          <w:color w:val="0D0D0D" w:themeColor="text1" w:themeTint="F2"/>
          <w:sz w:val="24"/>
          <w:szCs w:val="24"/>
        </w:rPr>
        <w:t xml:space="preserve"> de Marzo de</w:t>
      </w:r>
      <w:r w:rsidR="008C4F27">
        <w:rPr>
          <w:rFonts w:ascii="Arial" w:hAnsi="Arial" w:cs="Arial"/>
          <w:color w:val="0D0D0D" w:themeColor="text1" w:themeTint="F2"/>
          <w:sz w:val="24"/>
          <w:szCs w:val="24"/>
        </w:rPr>
        <w:t>l 2017, Autor: María Moreno</w:t>
      </w:r>
    </w:p>
    <w:p w:rsidR="003651DD" w:rsidRPr="00CD1428" w:rsidRDefault="003651DD" w:rsidP="00D61F52">
      <w:pPr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Organización de un congreso </w:t>
      </w:r>
      <w:r w:rsidR="008C4F27">
        <w:rPr>
          <w:rFonts w:ascii="Arial" w:hAnsi="Arial" w:cs="Arial"/>
          <w:color w:val="0D0D0D" w:themeColor="text1" w:themeTint="F2"/>
          <w:sz w:val="24"/>
          <w:szCs w:val="24"/>
        </w:rPr>
        <w:t>nacional: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Fecha de Consulta 20 de Marzo del </w:t>
      </w:r>
      <w:r w:rsidR="008C4F27">
        <w:rPr>
          <w:rFonts w:ascii="Arial" w:hAnsi="Arial" w:cs="Arial"/>
          <w:color w:val="0D0D0D" w:themeColor="text1" w:themeTint="F2"/>
          <w:sz w:val="24"/>
          <w:szCs w:val="24"/>
        </w:rPr>
        <w:t>2017: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C4F27">
        <w:rPr>
          <w:rFonts w:ascii="Arial" w:hAnsi="Arial" w:cs="Arial"/>
          <w:color w:val="0D0D0D" w:themeColor="text1" w:themeTint="F2"/>
          <w:sz w:val="24"/>
          <w:szCs w:val="24"/>
        </w:rPr>
        <w:t>Autor: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Oscar Francisco Reyna</w:t>
      </w:r>
    </w:p>
    <w:p w:rsidR="00D61F52" w:rsidRPr="00CD1428" w:rsidRDefault="003651DD" w:rsidP="00D61F52">
      <w:pPr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Fecha de Consulta 20 de Marzo del </w:t>
      </w:r>
      <w:r w:rsidR="008C4F27">
        <w:rPr>
          <w:rFonts w:ascii="Arial" w:hAnsi="Arial" w:cs="Arial"/>
          <w:color w:val="0D0D0D" w:themeColor="text1" w:themeTint="F2"/>
          <w:sz w:val="24"/>
          <w:szCs w:val="24"/>
        </w:rPr>
        <w:t xml:space="preserve">2017: Autor: Diana Carrillo </w:t>
      </w:r>
      <w:r w:rsidR="00D61F52" w:rsidRPr="00CD1428">
        <w:rPr>
          <w:rFonts w:ascii="Arial" w:hAnsi="Arial" w:cs="Arial"/>
          <w:color w:val="0D0D0D" w:themeColor="text1" w:themeTint="F2"/>
          <w:sz w:val="24"/>
          <w:szCs w:val="24"/>
        </w:rPr>
        <w:t>https://www.protocolo.org/ceremonial/eventos/el_comite_organizador_composicion_funciones_tipos_de_comite</w:t>
      </w:r>
    </w:p>
    <w:sectPr w:rsidR="00D61F52" w:rsidRPr="00CD1428" w:rsidSect="00CB5AE4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40B14"/>
    <w:multiLevelType w:val="hybridMultilevel"/>
    <w:tmpl w:val="DC68FE9A"/>
    <w:lvl w:ilvl="0" w:tplc="CBDAF9C0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5856"/>
    <w:multiLevelType w:val="hybridMultilevel"/>
    <w:tmpl w:val="083071C2"/>
    <w:lvl w:ilvl="0" w:tplc="ADA633D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30161"/>
    <w:multiLevelType w:val="hybridMultilevel"/>
    <w:tmpl w:val="22BC0C2A"/>
    <w:lvl w:ilvl="0" w:tplc="7CB4A7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F2"/>
    <w:rsid w:val="00080070"/>
    <w:rsid w:val="001C740E"/>
    <w:rsid w:val="00204B38"/>
    <w:rsid w:val="00222B26"/>
    <w:rsid w:val="00244808"/>
    <w:rsid w:val="003651DD"/>
    <w:rsid w:val="007925E8"/>
    <w:rsid w:val="008C4F27"/>
    <w:rsid w:val="00901BBE"/>
    <w:rsid w:val="00936CE9"/>
    <w:rsid w:val="00B76227"/>
    <w:rsid w:val="00BA4AB6"/>
    <w:rsid w:val="00C61B96"/>
    <w:rsid w:val="00CB5AE4"/>
    <w:rsid w:val="00CD1428"/>
    <w:rsid w:val="00D61F52"/>
    <w:rsid w:val="00EB12C6"/>
    <w:rsid w:val="00EC1436"/>
    <w:rsid w:val="00F4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5B032-304E-43AF-A35F-3B2C1299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E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Vic14</b:Tag>
    <b:SourceType>Report</b:SourceType>
    <b:Guid>{E4E373C2-4811-47EB-AD9A-288312ED1322}</b:Guid>
    <b:Author>
      <b:Author>
        <b:Corporate>Victor Gutierrez</b:Corporate>
      </b:Author>
    </b:Author>
    <b:Title>Manual de Congresos y Convenciones</b:Title>
    <b:Year>2014</b:Year>
    <b:RefOrder>4</b:RefOrder>
  </b:Source>
  <b:Source>
    <b:Tag>ger16</b:Tag>
    <b:SourceType>Report</b:SourceType>
    <b:Guid>{74C76991-F4B1-43BE-A7DC-622869DCC436}</b:Guid>
    <b:Author>
      <b:Author>
        <b:NameList>
          <b:Person>
            <b:Last>aldrete</b:Last>
            <b:First>gerardo</b:First>
          </b:Person>
        </b:NameList>
      </b:Author>
    </b:Author>
    <b:Title>eventoclick</b:Title>
    <b:Year>2016</b:Year>
    <b:RefOrder>5</b:RefOrder>
  </b:Source>
  <b:Source>
    <b:Tag>Mar12</b:Tag>
    <b:SourceType>Report</b:SourceType>
    <b:Guid>{7F8588AA-07A2-45EB-936F-7D3DA557CBB8}</b:Guid>
    <b:Author>
      <b:Author>
        <b:NameList>
          <b:Person>
            <b:Last>Perez</b:Last>
            <b:First>Margarita</b:First>
          </b:Person>
        </b:NameList>
      </b:Author>
    </b:Author>
    <b:Title>Antecedentes Historicos de congresos y convenciones</b:Title>
    <b:Year>2012</b:Year>
    <b:RefOrder>6</b:RefOrder>
  </b:Source>
  <b:Source>
    <b:Tag>ram13</b:Tag>
    <b:SourceType>Report</b:SourceType>
    <b:Guid>{F967A410-42DD-45D5-9B73-C72DD019FC60}</b:Guid>
    <b:Author>
      <b:Author>
        <b:NameList>
          <b:Person>
            <b:Last>ramiez</b:Last>
            <b:First>barbara</b:First>
          </b:Person>
        </b:NameList>
      </b:Author>
    </b:Author>
    <b:Title>turismo de negocios</b:Title>
    <b:Year>2013</b:Year>
    <b:RefOrder>7</b:RefOrder>
  </b:Source>
  <b:Source>
    <b:Tag>Mar15</b:Tag>
    <b:SourceType>Report</b:SourceType>
    <b:Guid>{947D08BB-1179-4BDA-8F32-8ACEE27A8883}</b:Guid>
    <b:Author>
      <b:Author>
        <b:NameList>
          <b:Person>
            <b:Last>Moreno</b:Last>
            <b:First>Maria</b:First>
          </b:Person>
        </b:NameList>
      </b:Author>
    </b:Author>
    <b:Year>2015</b:Year>
    <b:RefOrder>1</b:RefOrder>
  </b:Source>
  <b:Source>
    <b:Tag>Fra17</b:Tag>
    <b:SourceType>Report</b:SourceType>
    <b:Guid>{45E4B34D-9B13-4B84-8F78-125351138717}</b:Guid>
    <b:Author>
      <b:Author>
        <b:NameList>
          <b:Person>
            <b:Last>Reyna</b:Last>
            <b:First>Francisco</b:First>
          </b:Person>
        </b:NameList>
      </b:Author>
    </b:Author>
    <b:Title>Organizacion de un congreso</b:Title>
    <b:Year>2017</b:Year>
    <b:RefOrder>2</b:RefOrder>
  </b:Source>
  <b:Source>
    <b:Tag>dia13</b:Tag>
    <b:SourceType>Report</b:SourceType>
    <b:Guid>{52C6AFE3-4E79-4BA5-AD6D-BECA69A57A0E}</b:Guid>
    <b:Author>
      <b:Author>
        <b:NameList>
          <b:Person>
            <b:Last>carrillo</b:Last>
            <b:First>diana</b:First>
          </b:Person>
        </b:NameList>
      </b:Author>
    </b:Author>
    <b:Year>2013</b:Year>
    <b:RefOrder>3</b:RefOrder>
  </b:Source>
</b:Sources>
</file>

<file path=customXml/itemProps1.xml><?xml version="1.0" encoding="utf-8"?>
<ds:datastoreItem xmlns:ds="http://schemas.openxmlformats.org/officeDocument/2006/customXml" ds:itemID="{AD6BFB7F-ABD9-418A-AAD5-A8E3C68B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Solca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2</cp:revision>
  <dcterms:created xsi:type="dcterms:W3CDTF">2017-03-20T19:15:00Z</dcterms:created>
  <dcterms:modified xsi:type="dcterms:W3CDTF">2017-03-20T19:15:00Z</dcterms:modified>
</cp:coreProperties>
</file>